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32" w:rsidRPr="008F23B1" w:rsidRDefault="008F23B1" w:rsidP="00C35E32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</w:t>
      </w:r>
      <w:r w:rsidR="00C35E32" w:rsidRPr="008F23B1">
        <w:rPr>
          <w:rFonts w:ascii="Times New Roman" w:hAnsi="Times New Roman"/>
          <w:b/>
          <w:sz w:val="24"/>
          <w:szCs w:val="24"/>
          <w:u w:val="single"/>
          <w:lang w:val="uk-UA"/>
        </w:rPr>
        <w:t>Розрахунок вартості платних медичних послуг з оздоровчого масажу</w:t>
      </w:r>
    </w:p>
    <w:p w:rsidR="00E83EA5" w:rsidRPr="008F23B1" w:rsidRDefault="00C35E32" w:rsidP="00C35E3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F23B1">
        <w:rPr>
          <w:rFonts w:ascii="Times New Roman" w:hAnsi="Times New Roman"/>
          <w:b/>
          <w:sz w:val="24"/>
          <w:szCs w:val="24"/>
          <w:lang w:val="uk-UA"/>
        </w:rPr>
        <w:t>1.</w:t>
      </w:r>
      <w:proofErr w:type="spellStart"/>
      <w:r w:rsidR="00060E8E" w:rsidRPr="008F23B1">
        <w:rPr>
          <w:rFonts w:ascii="Times New Roman" w:hAnsi="Times New Roman"/>
          <w:b/>
          <w:sz w:val="24"/>
          <w:szCs w:val="24"/>
        </w:rPr>
        <w:t>Розрахунок</w:t>
      </w:r>
      <w:proofErr w:type="spellEnd"/>
      <w:r w:rsidR="00060E8E" w:rsidRPr="008F23B1">
        <w:rPr>
          <w:rFonts w:ascii="Times New Roman" w:hAnsi="Times New Roman"/>
          <w:b/>
          <w:sz w:val="24"/>
          <w:szCs w:val="24"/>
          <w:lang w:val="uk-UA"/>
        </w:rPr>
        <w:t xml:space="preserve"> для прямих </w:t>
      </w:r>
      <w:r w:rsidR="00060E8E" w:rsidRPr="008F23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0E8E" w:rsidRPr="008F23B1">
        <w:rPr>
          <w:rFonts w:ascii="Times New Roman" w:hAnsi="Times New Roman"/>
          <w:b/>
          <w:sz w:val="24"/>
          <w:szCs w:val="24"/>
        </w:rPr>
        <w:t>витрат</w:t>
      </w:r>
      <w:proofErr w:type="spellEnd"/>
      <w:r w:rsidRPr="008F23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60E8E" w:rsidRPr="008F23B1">
        <w:rPr>
          <w:rFonts w:ascii="Times New Roman" w:hAnsi="Times New Roman"/>
          <w:b/>
          <w:sz w:val="24"/>
          <w:szCs w:val="24"/>
        </w:rPr>
        <w:t xml:space="preserve">"Оплата </w:t>
      </w:r>
      <w:proofErr w:type="spellStart"/>
      <w:r w:rsidR="00060E8E" w:rsidRPr="008F23B1">
        <w:rPr>
          <w:rFonts w:ascii="Times New Roman" w:hAnsi="Times New Roman"/>
          <w:b/>
          <w:sz w:val="24"/>
          <w:szCs w:val="24"/>
        </w:rPr>
        <w:t>праці</w:t>
      </w:r>
      <w:proofErr w:type="spellEnd"/>
      <w:r w:rsidR="00060E8E" w:rsidRPr="008F23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0E8E" w:rsidRPr="008F23B1">
        <w:rPr>
          <w:rFonts w:ascii="Times New Roman" w:hAnsi="Times New Roman"/>
          <w:b/>
          <w:sz w:val="24"/>
          <w:szCs w:val="24"/>
        </w:rPr>
        <w:t>медичного</w:t>
      </w:r>
      <w:proofErr w:type="spellEnd"/>
      <w:r w:rsidR="00060E8E" w:rsidRPr="008F23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0E8E" w:rsidRPr="008F23B1">
        <w:rPr>
          <w:rFonts w:ascii="Times New Roman" w:hAnsi="Times New Roman"/>
          <w:b/>
          <w:sz w:val="24"/>
          <w:szCs w:val="24"/>
        </w:rPr>
        <w:t>персалу</w:t>
      </w:r>
      <w:proofErr w:type="spellEnd"/>
      <w:r w:rsidR="00060E8E" w:rsidRPr="008F23B1">
        <w:rPr>
          <w:rFonts w:ascii="Times New Roman" w:hAnsi="Times New Roman"/>
          <w:b/>
          <w:sz w:val="24"/>
          <w:szCs w:val="24"/>
        </w:rPr>
        <w:t>"</w:t>
      </w:r>
    </w:p>
    <w:p w:rsidR="009C4239" w:rsidRPr="008F23B1" w:rsidRDefault="00D6571D" w:rsidP="003605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Середньомісячний баланс робочого часу медичної сестри</w:t>
      </w:r>
      <w:r w:rsidR="009C4239" w:rsidRPr="008F23B1">
        <w:rPr>
          <w:rFonts w:ascii="Times New Roman" w:hAnsi="Times New Roman"/>
          <w:sz w:val="24"/>
          <w:szCs w:val="24"/>
          <w:lang w:val="uk-UA"/>
        </w:rPr>
        <w:t xml:space="preserve"> на 2022 рік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становить  </w:t>
      </w:r>
      <w:r w:rsidR="009C4239" w:rsidRPr="008F23B1">
        <w:rPr>
          <w:rFonts w:ascii="Times New Roman" w:hAnsi="Times New Roman"/>
          <w:sz w:val="24"/>
          <w:szCs w:val="24"/>
          <w:lang w:val="uk-UA"/>
        </w:rPr>
        <w:t>159,75 год.</w:t>
      </w:r>
    </w:p>
    <w:p w:rsidR="009C4239" w:rsidRPr="008F23B1" w:rsidRDefault="009C4239" w:rsidP="009C42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Заробітна плата за місяць (основна та додаткова)  </w:t>
      </w:r>
      <w:r w:rsidR="005B2F9B" w:rsidRPr="008F23B1">
        <w:rPr>
          <w:rFonts w:ascii="Times New Roman" w:hAnsi="Times New Roman"/>
          <w:sz w:val="24"/>
          <w:szCs w:val="24"/>
          <w:lang w:val="uk-UA"/>
        </w:rPr>
        <w:t>13500</w:t>
      </w:r>
      <w:r w:rsidR="007B285E" w:rsidRPr="008F23B1">
        <w:rPr>
          <w:rFonts w:ascii="Times New Roman" w:hAnsi="Times New Roman"/>
          <w:sz w:val="24"/>
          <w:szCs w:val="24"/>
          <w:lang w:val="uk-UA"/>
        </w:rPr>
        <w:t>,00</w:t>
      </w:r>
      <w:r w:rsidR="002B7105" w:rsidRPr="008F23B1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Pr="008F23B1">
        <w:rPr>
          <w:rFonts w:ascii="Times New Roman" w:hAnsi="Times New Roman"/>
          <w:sz w:val="24"/>
          <w:szCs w:val="24"/>
          <w:lang w:val="uk-UA"/>
        </w:rPr>
        <w:t>.</w:t>
      </w:r>
    </w:p>
    <w:p w:rsidR="005B2F9B" w:rsidRPr="008F23B1" w:rsidRDefault="009C4239" w:rsidP="003605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(</w:t>
      </w:r>
      <w:r w:rsidR="005B2F9B"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285E" w:rsidRPr="008F23B1">
        <w:rPr>
          <w:rFonts w:ascii="Times New Roman" w:hAnsi="Times New Roman"/>
          <w:sz w:val="24"/>
          <w:szCs w:val="24"/>
          <w:lang w:val="uk-UA"/>
        </w:rPr>
        <w:t>при повній місячній нормі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F9B" w:rsidRPr="008F23B1">
        <w:rPr>
          <w:rFonts w:ascii="Times New Roman" w:hAnsi="Times New Roman"/>
          <w:sz w:val="24"/>
          <w:szCs w:val="24"/>
          <w:lang w:val="uk-UA"/>
        </w:rPr>
        <w:t>згідно постанови КМУ №2</w:t>
      </w:r>
      <w:r w:rsidR="007B285E" w:rsidRPr="008F23B1">
        <w:rPr>
          <w:rFonts w:ascii="Times New Roman" w:hAnsi="Times New Roman"/>
          <w:sz w:val="24"/>
          <w:szCs w:val="24"/>
          <w:lang w:val="uk-UA"/>
        </w:rPr>
        <w:t xml:space="preserve"> від 12.01.2022 р.</w:t>
      </w:r>
      <w:r w:rsidR="005B2F9B" w:rsidRPr="008F23B1">
        <w:rPr>
          <w:rFonts w:ascii="Times New Roman" w:hAnsi="Times New Roman"/>
          <w:sz w:val="24"/>
          <w:szCs w:val="24"/>
          <w:lang w:val="uk-UA"/>
        </w:rPr>
        <w:t>)</w:t>
      </w:r>
      <w:r w:rsidRPr="008F23B1">
        <w:rPr>
          <w:rFonts w:ascii="Times New Roman" w:hAnsi="Times New Roman"/>
          <w:sz w:val="24"/>
          <w:szCs w:val="24"/>
          <w:lang w:val="uk-UA"/>
        </w:rPr>
        <w:t>.</w:t>
      </w:r>
    </w:p>
    <w:p w:rsidR="009C4239" w:rsidRPr="008F23B1" w:rsidRDefault="009C4239" w:rsidP="003605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5CD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Р</w:t>
      </w:r>
      <w:r w:rsidR="00862F13" w:rsidRPr="008F23B1">
        <w:rPr>
          <w:rFonts w:ascii="Times New Roman" w:hAnsi="Times New Roman"/>
          <w:sz w:val="24"/>
          <w:szCs w:val="24"/>
          <w:lang w:val="uk-UA"/>
        </w:rPr>
        <w:t>озрахункові норми на проведення одного масажу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наказу МОЗ України від 30.12.93 р. №260: 10хв-0,17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,15хв-0,25год,20хв-0,33год,25хв-0,42год,30хв-0,50год.</w:t>
      </w:r>
    </w:p>
    <w:p w:rsidR="0085797E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13500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/159,75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*0,17 год=14,37 грн. ( 10хв на виконання процедури);</w:t>
      </w:r>
    </w:p>
    <w:p w:rsidR="0085797E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13500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/159,75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*0,25 год=21,13 грн. ( 15хв на виконання процедури);</w:t>
      </w:r>
    </w:p>
    <w:p w:rsidR="0085797E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13500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/159,75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*0,33 год=27,89 грн. ( 20хв на виконання процедури);</w:t>
      </w:r>
    </w:p>
    <w:p w:rsidR="0085797E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13500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/159,75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*0,42 год=35,49 грн. ( 25хв на виконання процедури);</w:t>
      </w:r>
    </w:p>
    <w:p w:rsidR="0085797E" w:rsidRPr="008F23B1" w:rsidRDefault="0085797E" w:rsidP="00060E8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13500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/159,75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*0,50 год=42,25 грн. ( 30</w:t>
      </w:r>
      <w:r w:rsidR="00C26153" w:rsidRPr="008F23B1">
        <w:rPr>
          <w:rFonts w:ascii="Times New Roman" w:hAnsi="Times New Roman"/>
          <w:sz w:val="24"/>
          <w:szCs w:val="24"/>
          <w:lang w:val="uk-UA"/>
        </w:rPr>
        <w:t>хв на виконання процедури).</w:t>
      </w:r>
    </w:p>
    <w:p w:rsidR="00284333" w:rsidRDefault="0085797E" w:rsidP="00C26153">
      <w:pPr>
        <w:spacing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0F0F0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Зарплату молодшого медичного персоналу визначаємо пропорційно </w:t>
      </w:r>
      <w:r w:rsidR="00C26153" w:rsidRPr="008F23B1">
        <w:rPr>
          <w:rFonts w:ascii="Times New Roman" w:hAnsi="Times New Roman"/>
          <w:sz w:val="24"/>
          <w:szCs w:val="24"/>
          <w:lang w:val="uk-UA"/>
        </w:rPr>
        <w:t xml:space="preserve">сестри медичної з масажу. Штатними нормативами передбачено на </w:t>
      </w:r>
      <w:r w:rsidR="00C26153" w:rsidRPr="00284333">
        <w:rPr>
          <w:rFonts w:ascii="Times New Roman" w:hAnsi="Times New Roman"/>
          <w:sz w:val="24"/>
          <w:szCs w:val="24"/>
          <w:lang w:val="uk-UA"/>
        </w:rPr>
        <w:t>одну</w:t>
      </w:r>
      <w:r w:rsidR="00284333">
        <w:rPr>
          <w:rFonts w:ascii="Times New Roman" w:hAnsi="Times New Roman"/>
          <w:sz w:val="24"/>
          <w:szCs w:val="24"/>
          <w:lang w:val="uk-UA"/>
        </w:rPr>
        <w:t xml:space="preserve"> посаду медичної сестри з масажу 0,5 посади молодшої медичної сестри (з фізіотерапії згідно примірних штатних нормативів, додаток 29 до наказу МОЗ від 23.02.2000р №33).</w:t>
      </w:r>
      <w:r w:rsidR="00C26153" w:rsidRPr="00284333">
        <w:rPr>
          <w:rFonts w:ascii="Times New Roman" w:hAnsi="Times New Roman"/>
          <w:color w:val="212529"/>
          <w:sz w:val="24"/>
          <w:szCs w:val="24"/>
          <w:shd w:val="clear" w:color="auto" w:fill="F0F0F0"/>
          <w:lang w:val="uk-UA"/>
        </w:rPr>
        <w:t xml:space="preserve"> </w:t>
      </w:r>
    </w:p>
    <w:p w:rsidR="00284333" w:rsidRDefault="00284333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Обраховуємо відношення фонду зарплати молодшого медичного персоналу до фонду зарплати сестри медичної з масажу.</w:t>
      </w:r>
    </w:p>
    <w:p w:rsidR="00284333" w:rsidRDefault="00284333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Обчислений відсоток беремо до розрахунку</w:t>
      </w:r>
    </w:p>
    <w:p w:rsidR="00284333" w:rsidRDefault="00284333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14,37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*31%=4,45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(10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виконання процедури);</w:t>
      </w:r>
    </w:p>
    <w:p w:rsidR="003605CD" w:rsidRPr="008F23B1" w:rsidRDefault="00C26153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21,13</w:t>
      </w:r>
      <w:r w:rsidR="005C1B60"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C1B60"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5C1B60" w:rsidRPr="008F23B1">
        <w:rPr>
          <w:rFonts w:ascii="Times New Roman" w:hAnsi="Times New Roman"/>
          <w:sz w:val="24"/>
          <w:szCs w:val="24"/>
          <w:lang w:val="uk-UA"/>
        </w:rPr>
        <w:t>*31%=6,55</w:t>
      </w:r>
      <w:bookmarkStart w:id="0" w:name="_GoBack"/>
      <w:bookmarkEnd w:id="0"/>
      <w:r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 ( 15хв на виконання процедури);</w:t>
      </w:r>
    </w:p>
    <w:p w:rsidR="00C26153" w:rsidRPr="008F23B1" w:rsidRDefault="00D3573C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27,89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*31%=8,65</w:t>
      </w:r>
      <w:r w:rsidR="00C26153"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26153"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C26153" w:rsidRPr="008F23B1">
        <w:rPr>
          <w:rFonts w:ascii="Times New Roman" w:hAnsi="Times New Roman"/>
          <w:sz w:val="24"/>
          <w:szCs w:val="24"/>
          <w:lang w:val="uk-UA"/>
        </w:rPr>
        <w:t xml:space="preserve"> ( 20хв на виконання процедури);</w:t>
      </w:r>
    </w:p>
    <w:p w:rsidR="00C26153" w:rsidRPr="008F23B1" w:rsidRDefault="00D3573C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35,49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*31%=11,00</w:t>
      </w:r>
      <w:r w:rsidR="00C26153" w:rsidRPr="008F23B1">
        <w:rPr>
          <w:rFonts w:ascii="Times New Roman" w:hAnsi="Times New Roman"/>
          <w:sz w:val="24"/>
          <w:szCs w:val="24"/>
          <w:lang w:val="uk-UA"/>
        </w:rPr>
        <w:t>грн ( 25хв на виконання процедури);</w:t>
      </w:r>
    </w:p>
    <w:p w:rsidR="00117BA1" w:rsidRPr="008F23B1" w:rsidRDefault="00D3573C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42,25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*31%=13,10</w:t>
      </w:r>
      <w:r w:rsidR="00C26153"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26153"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C26153" w:rsidRPr="008F23B1">
        <w:rPr>
          <w:rFonts w:ascii="Times New Roman" w:hAnsi="Times New Roman"/>
          <w:sz w:val="24"/>
          <w:szCs w:val="24"/>
          <w:lang w:val="uk-UA"/>
        </w:rPr>
        <w:t xml:space="preserve"> ( 30</w:t>
      </w:r>
      <w:r w:rsidR="00C35E32" w:rsidRPr="008F23B1">
        <w:rPr>
          <w:rFonts w:ascii="Times New Roman" w:hAnsi="Times New Roman"/>
          <w:sz w:val="24"/>
          <w:szCs w:val="24"/>
          <w:lang w:val="uk-UA"/>
        </w:rPr>
        <w:t>хв на виконання процедури).</w:t>
      </w:r>
    </w:p>
    <w:p w:rsidR="00C35E32" w:rsidRPr="008F23B1" w:rsidRDefault="00FE2135" w:rsidP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Резерв на оплату відпусток розраховується шляхом множення відсотка резерву відпус</w:t>
      </w:r>
      <w:r w:rsidR="00C43693" w:rsidRPr="008F23B1">
        <w:rPr>
          <w:rFonts w:ascii="Times New Roman" w:hAnsi="Times New Roman"/>
          <w:sz w:val="24"/>
          <w:szCs w:val="24"/>
          <w:lang w:val="uk-UA"/>
        </w:rPr>
        <w:t>ток на оплату праці. Відсоток резерву відпусток визначається як відношення річної фактичної суми на оплату відпусток до загального річного фонду оплати праці.</w:t>
      </w:r>
    </w:p>
    <w:p w:rsidR="00C43693" w:rsidRPr="008F23B1" w:rsidRDefault="00C43693" w:rsidP="00C4369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Фонд оплати праці КНП ФМР «ФМЦПМСД» за 2021 рік становить 14531839,67 грн., а фактична сума на оплату відпусток за 2021 рік 1034364,26 грн. </w:t>
      </w:r>
    </w:p>
    <w:p w:rsidR="00C43693" w:rsidRPr="008F23B1" w:rsidRDefault="00C43693" w:rsidP="00C4369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Відсоток резерву відпусток:</w:t>
      </w:r>
    </w:p>
    <w:p w:rsidR="000B7265" w:rsidRPr="008F23B1" w:rsidRDefault="00C43693" w:rsidP="00C4369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 xml:space="preserve">1034364,26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>/14531839,67 *100%=7,12 %</w:t>
      </w:r>
    </w:p>
    <w:p w:rsidR="00DF3716" w:rsidRDefault="008F23B1" w:rsidP="00DF3716">
      <w:pPr>
        <w:shd w:val="clear" w:color="auto" w:fill="FFFFFF"/>
        <w:spacing w:before="460" w:after="306" w:line="354" w:lineRule="atLeast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2.</w:t>
      </w:r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Розрахунок вартості матеріальних витрат</w:t>
      </w:r>
    </w:p>
    <w:p w:rsidR="008F23B1" w:rsidRPr="00DF3716" w:rsidRDefault="008F23B1" w:rsidP="00DF3716">
      <w:pPr>
        <w:shd w:val="clear" w:color="auto" w:fill="FFFFFF"/>
        <w:spacing w:before="460" w:after="306" w:line="354" w:lineRule="atLeast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Наступною складовою прямих витрат є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матеріальні витрати, а саме: витрати на медичні засоби, перев’язувальні матеріали, лабораторні реактиви,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дезінфікувальні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засоби, бланки, медичний інструментарій, розхідні засоби та інші, які витрачають саме під час надання послуги та які можна розрахувати у кількісному вираженні та зарахувати до конкретної медичної послуги.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процедури оздоровчого масажу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23B1" w:rsidRPr="008F23B1" w:rsidRDefault="008F23B1" w:rsidP="008F2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масло для масажу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1,5-2,5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8F23B1" w:rsidRPr="008F23B1" w:rsidRDefault="008F23B1" w:rsidP="008F2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паперові рушники для витирання рук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2 шт.</w:t>
      </w:r>
    </w:p>
    <w:p w:rsidR="008F23B1" w:rsidRPr="008F23B1" w:rsidRDefault="008F23B1" w:rsidP="008F2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спирт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етиловий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1,5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</w:t>
      </w:r>
    </w:p>
    <w:p w:rsidR="008F23B1" w:rsidRPr="008F23B1" w:rsidRDefault="008F23B1" w:rsidP="008F2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мило туалетне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3,0г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009F7" w:rsidRDefault="00E61FB3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Визначаємо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матеріалу</w:t>
      </w:r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врахувати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яції</w:t>
      </w:r>
      <w:proofErr w:type="spellEnd"/>
      <w:r w:rsidR="00C009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1 одиницю виміру, множимо на норму </w:t>
      </w:r>
      <w:proofErr w:type="spellStart"/>
      <w:r w:rsidR="00C009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кількі</w:t>
      </w:r>
      <w:proofErr w:type="gramStart"/>
      <w:r w:rsidR="00C009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</w:t>
      </w:r>
      <w:proofErr w:type="gramEnd"/>
      <w:r w:rsidR="00C009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proofErr w:type="spellEnd"/>
      <w:r w:rsidR="00C009F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витрачання матеріалу на процедуру.</w:t>
      </w:r>
    </w:p>
    <w:p w:rsidR="00DF3716" w:rsidRDefault="00ED57AD" w:rsidP="00DF3716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Норми витрат матеріалів затверджується керівник</w:t>
      </w:r>
      <w:r w:rsidR="00DF371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ом, на основі технологічної карти , проведеної головною медичною сестрою, якщо норми витратна дану послугу  не встановлені  законодавством</w:t>
      </w:r>
    </w:p>
    <w:p w:rsidR="008F23B1" w:rsidRPr="00DF3716" w:rsidRDefault="00ED57AD" w:rsidP="00DF3716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3.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Розрахунок</w:t>
      </w:r>
      <w:proofErr w:type="spellEnd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витрат</w:t>
      </w:r>
      <w:proofErr w:type="spellEnd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електроенергію</w:t>
      </w:r>
      <w:proofErr w:type="spellEnd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амортизаційних</w:t>
      </w:r>
      <w:proofErr w:type="spellEnd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відрахувань</w:t>
      </w:r>
      <w:proofErr w:type="spellEnd"/>
    </w:p>
    <w:p w:rsidR="00DF3716" w:rsidRDefault="00ED57AD" w:rsidP="00DF3716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 в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изнач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аємо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електроенергію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використану</w:t>
      </w:r>
      <w:proofErr w:type="spell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ередньо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,та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нараховуєм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амортизацію, так як для надання процедур з масажу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використовуєм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обладнання, на яке нараховується знос, чи потребує споживання електроенергії.</w:t>
      </w:r>
    </w:p>
    <w:p w:rsidR="008F23B1" w:rsidRPr="00DF3716" w:rsidRDefault="00ED57AD" w:rsidP="00DF3716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4.</w:t>
      </w:r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Загальновиробничі та адміністративні витрати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Загальновиробничі та адміністративні витрати (або накладні витрати) варто розраховувати за звітний період та розподіляти пропорційно прямим витратам на оплату праці через коефіцієнт.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Також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можна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врахувати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показникі</w:t>
      </w:r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 </w:t>
      </w:r>
      <w:proofErr w:type="spellStart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загальновиробничих</w:t>
      </w:r>
      <w:proofErr w:type="spellEnd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витрат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належать:</w:t>
      </w:r>
    </w:p>
    <w:p w:rsidR="008F23B1" w:rsidRPr="008F23B1" w:rsidRDefault="008F23B1" w:rsidP="008F2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відрядження</w:t>
      </w:r>
      <w:proofErr w:type="spellEnd"/>
    </w:p>
    <w:p w:rsidR="008F23B1" w:rsidRPr="008F23B1" w:rsidRDefault="008F23B1" w:rsidP="008F2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ремонт,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засобі</w:t>
      </w:r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8F23B1" w:rsidRPr="008F23B1" w:rsidRDefault="008F23B1" w:rsidP="008F2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</w:p>
    <w:p w:rsidR="008F23B1" w:rsidRPr="008F23B1" w:rsidRDefault="008F23B1" w:rsidP="008F23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Адміністративні</w:t>
      </w:r>
      <w:proofErr w:type="spellEnd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передбачають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адміністративно-господарського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персоналу,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плата</w:t>
      </w:r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відрядження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пально-мастильні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розрахунково-касове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обслуговування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програмного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proofErr w:type="spellEnd"/>
    </w:p>
    <w:p w:rsidR="008F23B1" w:rsidRPr="008F23B1" w:rsidRDefault="008F23B1" w:rsidP="008F23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Розрахуємо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формулою </w:t>
      </w:r>
      <w:r w:rsidR="00ED57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(взято приклад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розрахунку зі статті медичного журналу) </w:t>
      </w:r>
      <w:r w:rsidR="00ED57A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наведемо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Формула:</w:t>
      </w:r>
    </w:p>
    <w:p w:rsidR="003B77F9" w:rsidRPr="003B77F9" w:rsidRDefault="003B77F9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Базисний період 1 півріччя 2022 року.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3B1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77285" cy="495935"/>
            <wp:effectExtent l="19050" t="0" r="0" b="0"/>
            <wp:docPr id="4" name="Рисунок 4" descr="Платні медичні послуги: як сформувати варті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тні медичні послуги: як сформувати варті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8F23B1" w:rsidRPr="003B77F9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установи за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й період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34 981 180,00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(звіт по  фінплану за 1 </w:t>
      </w:r>
      <w:proofErr w:type="gramStart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івріччя)</w:t>
      </w:r>
    </w:p>
    <w:p w:rsidR="008F23B1" w:rsidRPr="003B77F9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заробітну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Зф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23 083 560,00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(звіт по фінплану за 1 </w:t>
      </w:r>
      <w:proofErr w:type="gramStart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івріччя)</w:t>
      </w:r>
    </w:p>
    <w:p w:rsidR="008F23B1" w:rsidRPr="003B77F9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Зфа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адміністративно-господарського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обслуговуючо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персоналу;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Зфа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5 286 517,47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 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відношення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зарплати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нарахуваннями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зарплати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нарахувань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= 1,22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харч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ування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Пф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0,00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</w:p>
    <w:p w:rsidR="008F23B1" w:rsidRPr="003B77F9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перев’язувальні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322 160,00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(звіт по  фінплану за 1 </w:t>
      </w:r>
      <w:proofErr w:type="gramStart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івріччя)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’який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інвентар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3B7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7F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0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капітальні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датки</w:t>
      </w:r>
      <w:proofErr w:type="spellEnd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50E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23B1" w:rsidRPr="004F7985" w:rsidRDefault="008650EA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49400</w:t>
      </w:r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</w:t>
      </w:r>
      <w:proofErr w:type="gram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звіт по  фінплану за 1 півріччя)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Зш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штатного </w:t>
      </w:r>
      <w:proofErr w:type="spellStart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розпису</w:t>
      </w:r>
      <w:proofErr w:type="spellEnd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базисний</w:t>
      </w:r>
      <w:proofErr w:type="spellEnd"/>
      <w:r w:rsidR="0086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02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період (І півріччя) станом на 30</w:t>
      </w:r>
      <w:r w:rsidR="008650E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.06.2022р</w:t>
      </w:r>
      <w:r w:rsidR="0052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52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52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Зш</w:t>
      </w:r>
      <w:proofErr w:type="spellEnd"/>
      <w:r w:rsidR="0052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5202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17 895 407,00 грн.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Зша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фонд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адміністративно-господарського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обслуговуючого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персоналу</w:t>
      </w:r>
      <w:r w:rsidR="00B94C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94C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( </w:t>
      </w:r>
      <w:proofErr w:type="gramEnd"/>
      <w:r w:rsidR="00B94C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 т.ч. заробітна плата директора, медичних директорів, головної медичної сестри)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B94C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</w:t>
      </w:r>
      <w:proofErr w:type="spellEnd"/>
      <w:r w:rsidR="00B94C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</w:t>
      </w:r>
      <w:r w:rsidR="00B94C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4 750 591,98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</w:p>
    <w:p w:rsidR="008F23B1" w:rsidRPr="00284333" w:rsidRDefault="00B94CDF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Кн.в.=(34 981 180,00-((23</w:t>
      </w:r>
      <w:r w:rsidR="009133E8"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 </w:t>
      </w:r>
      <w:r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083</w:t>
      </w:r>
      <w:r w:rsidR="009133E8"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560,00-5 286 517,47)*1,22+0,0+322 160,00+0,0+49400</w:t>
      </w:r>
      <w:r w:rsidR="009133E8"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,00</w:t>
      </w:r>
      <w:r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))/</w:t>
      </w:r>
      <w:r w:rsidR="009133E8"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 xml:space="preserve">       (17 895 407,00-4 750 591,98)=</w:t>
      </w:r>
      <w:r w:rsidR="00050930" w:rsidRPr="00284333">
        <w:rPr>
          <w:rFonts w:ascii="Times New Roman" w:eastAsia="Times New Roman" w:hAnsi="Times New Roman"/>
          <w:bCs/>
          <w:noProof/>
          <w:color w:val="000000"/>
          <w:sz w:val="24"/>
          <w:szCs w:val="24"/>
          <w:u w:val="single"/>
          <w:lang w:val="uk-UA" w:eastAsia="ru-RU"/>
        </w:rPr>
        <w:t>12 897 228,11/13 144 815,02=0,98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нашому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</w:t>
      </w:r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уємо</w:t>
      </w:r>
      <w:proofErr w:type="spellEnd"/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отриманий</w:t>
      </w:r>
      <w:proofErr w:type="spellEnd"/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="00050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0,</w:t>
      </w:r>
      <w:r w:rsidR="0005093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98</w:t>
      </w:r>
      <w:r w:rsidR="004F79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Суму 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зарплати</w:t>
      </w:r>
      <w:proofErr w:type="spellEnd"/>
      <w:r w:rsidR="004F798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(основна та додаткова)</w:t>
      </w:r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множимо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коефіцієнт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отримуємо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23B1" w:rsidRDefault="00ED142E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18,82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× 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,98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8,44</w:t>
      </w:r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грн</w:t>
      </w:r>
      <w:proofErr w:type="spellEnd"/>
      <w:r w:rsidR="0028433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(на 10 </w:t>
      </w:r>
      <w:proofErr w:type="spellStart"/>
      <w:r w:rsidR="0028433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</w:t>
      </w:r>
      <w:proofErr w:type="spellEnd"/>
      <w:r w:rsidR="0028433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виконання процедури);</w:t>
      </w:r>
    </w:p>
    <w:p w:rsidR="00284333" w:rsidRPr="008F23B1" w:rsidRDefault="00284333" w:rsidP="002843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21,13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*0,98=20,71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 ( 15хв на виконання процедури);</w:t>
      </w:r>
    </w:p>
    <w:p w:rsidR="00284333" w:rsidRPr="008F23B1" w:rsidRDefault="00284333" w:rsidP="002843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27,89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*0,98=27,33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 ( 20хв на виконання процедури);</w:t>
      </w:r>
    </w:p>
    <w:p w:rsidR="00284333" w:rsidRPr="008F23B1" w:rsidRDefault="00284333" w:rsidP="002843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35,49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*0,98=34,78</w:t>
      </w:r>
      <w:r w:rsidRPr="008F23B1">
        <w:rPr>
          <w:rFonts w:ascii="Times New Roman" w:hAnsi="Times New Roman"/>
          <w:sz w:val="24"/>
          <w:szCs w:val="24"/>
          <w:lang w:val="uk-UA"/>
        </w:rPr>
        <w:t>грн ( 25хв на виконання процедури);</w:t>
      </w:r>
    </w:p>
    <w:p w:rsidR="00284333" w:rsidRPr="008F23B1" w:rsidRDefault="00284333" w:rsidP="002843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42,25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*0,98=41,41</w:t>
      </w:r>
      <w:r w:rsidRPr="008F2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F23B1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F23B1">
        <w:rPr>
          <w:rFonts w:ascii="Times New Roman" w:hAnsi="Times New Roman"/>
          <w:sz w:val="24"/>
          <w:szCs w:val="24"/>
          <w:lang w:val="uk-UA"/>
        </w:rPr>
        <w:t xml:space="preserve"> ( 30хв на виконання процедури).</w:t>
      </w:r>
    </w:p>
    <w:p w:rsidR="00284333" w:rsidRDefault="00284333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84333" w:rsidRPr="00284333" w:rsidRDefault="00284333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визначимо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повну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23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(табл.)</w:t>
      </w:r>
    </w:p>
    <w:p w:rsidR="008F23B1" w:rsidRPr="004F7985" w:rsidRDefault="004F7985" w:rsidP="008F23B1">
      <w:pPr>
        <w:shd w:val="clear" w:color="auto" w:fill="FFFFFF"/>
        <w:spacing w:before="460" w:after="306" w:line="354" w:lineRule="atLeast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Приклад п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собівартіст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F23B1" w:rsidRPr="008F23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на 10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хв</w:t>
      </w:r>
      <w:proofErr w:type="spellEnd"/>
    </w:p>
    <w:tbl>
      <w:tblPr>
        <w:tblW w:w="13098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03"/>
        <w:gridCol w:w="5395"/>
      </w:tblGrid>
      <w:tr w:rsidR="008F23B1" w:rsidRPr="008F23B1" w:rsidTr="00125CC0">
        <w:trPr>
          <w:trHeight w:val="306"/>
          <w:tblHeader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8F2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4F7985">
            <w:pPr>
              <w:spacing w:after="0" w:line="337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23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Сума, </w:t>
            </w:r>
            <w:proofErr w:type="spellStart"/>
            <w:r w:rsidRPr="008F2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B94CDF" w:rsidRDefault="00B94CDF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="008F23B1"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аробітна</w:t>
            </w:r>
            <w:proofErr w:type="spellEnd"/>
            <w:r w:rsidR="008F23B1"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(основна та додаткова)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18,82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B94CDF" w:rsidRDefault="00B94CDF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Резерв відпусток</w:t>
            </w:r>
            <w:r w:rsidR="004F79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(7,12%)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1,34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B94CDF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 — разом 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20,16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4,44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1,61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8F23B1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79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proofErr w:type="gram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— разом</w:t>
            </w:r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26,17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Накладні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18,44</w:t>
            </w:r>
          </w:p>
        </w:tc>
      </w:tr>
      <w:tr w:rsidR="008F23B1" w:rsidRPr="008F23B1" w:rsidTr="00125CC0">
        <w:trPr>
          <w:trHeight w:val="306"/>
        </w:trPr>
        <w:tc>
          <w:tcPr>
            <w:tcW w:w="7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8F23B1" w:rsidRDefault="008F23B1" w:rsidP="00125CC0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8F2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53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3B1" w:rsidRPr="004F7985" w:rsidRDefault="004F7985" w:rsidP="004F7985">
            <w:pPr>
              <w:spacing w:after="0" w:line="337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44,61</w:t>
            </w:r>
          </w:p>
        </w:tc>
      </w:tr>
    </w:tbl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собівартості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економічно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обгрунтованих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одиницю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калькулювання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розвиток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в межах граничного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рентабельності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Тобто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обчислення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собівартості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зарахувати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закладу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граничний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23B1" w:rsidRPr="00B94CDF" w:rsidRDefault="00B94CDF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випадку</w:t>
      </w:r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="008F23B1"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рентабельності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становить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</w:p>
    <w:p w:rsidR="008F23B1" w:rsidRPr="008F23B1" w:rsidRDefault="008F23B1" w:rsidP="008F23B1">
      <w:pPr>
        <w:shd w:val="clear" w:color="auto" w:fill="FFFFFF"/>
        <w:spacing w:after="153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повноважень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сільських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селищних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 (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2 п. «а» ч. 1 ст. 28 Закону про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Орган </w:t>
      </w:r>
      <w:proofErr w:type="spellStart"/>
      <w:proofErr w:type="gram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ісцевого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погодити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прейскурант </w:t>
      </w:r>
      <w:proofErr w:type="spellStart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медзакладу-КНП</w:t>
      </w:r>
      <w:proofErr w:type="spellEnd"/>
      <w:r w:rsidRPr="008F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23B1" w:rsidRPr="008F23B1" w:rsidRDefault="008F23B1" w:rsidP="008F23B1">
      <w:pPr>
        <w:rPr>
          <w:rFonts w:ascii="Times New Roman" w:hAnsi="Times New Roman"/>
          <w:sz w:val="24"/>
          <w:szCs w:val="24"/>
        </w:rPr>
      </w:pPr>
    </w:p>
    <w:p w:rsidR="008F23B1" w:rsidRPr="008F23B1" w:rsidRDefault="008F23B1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23B1" w:rsidRPr="008F23B1" w:rsidRDefault="008F23B1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0E8E" w:rsidRPr="0028271C" w:rsidRDefault="003605C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F23B1">
        <w:rPr>
          <w:rFonts w:ascii="Times New Roman" w:hAnsi="Times New Roman"/>
          <w:sz w:val="24"/>
          <w:szCs w:val="24"/>
          <w:lang w:val="uk-UA"/>
        </w:rPr>
        <w:t>Економіст</w:t>
      </w:r>
      <w:r w:rsidR="00C43693" w:rsidRPr="008F23B1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DF371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43693" w:rsidRPr="008F23B1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0A2111">
        <w:rPr>
          <w:rFonts w:ascii="Times New Roman" w:hAnsi="Times New Roman"/>
          <w:sz w:val="24"/>
          <w:szCs w:val="24"/>
          <w:lang w:val="uk-UA"/>
        </w:rPr>
        <w:t>Тетяна</w:t>
      </w:r>
      <w:r w:rsidR="00C43693" w:rsidRPr="008F23B1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C43693" w:rsidRPr="008F23B1">
        <w:rPr>
          <w:rFonts w:ascii="Times New Roman" w:hAnsi="Times New Roman"/>
          <w:sz w:val="24"/>
          <w:szCs w:val="24"/>
          <w:lang w:val="uk-UA"/>
        </w:rPr>
        <w:t>Собківсь</w:t>
      </w:r>
      <w:r w:rsidR="000A2111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  <w:r w:rsidR="000A211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60E8E" w:rsidRPr="0028271C" w:rsidSect="005E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B33"/>
    <w:multiLevelType w:val="multilevel"/>
    <w:tmpl w:val="0FD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3FBD"/>
    <w:multiLevelType w:val="multilevel"/>
    <w:tmpl w:val="D78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928F2"/>
    <w:multiLevelType w:val="multilevel"/>
    <w:tmpl w:val="1C8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07681"/>
    <w:multiLevelType w:val="hybridMultilevel"/>
    <w:tmpl w:val="662E4802"/>
    <w:lvl w:ilvl="0" w:tplc="84449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5F"/>
    <w:rsid w:val="00050930"/>
    <w:rsid w:val="00060E8E"/>
    <w:rsid w:val="000A2111"/>
    <w:rsid w:val="000A4E32"/>
    <w:rsid w:val="000B7265"/>
    <w:rsid w:val="00117BA1"/>
    <w:rsid w:val="0028271C"/>
    <w:rsid w:val="00284333"/>
    <w:rsid w:val="002846FE"/>
    <w:rsid w:val="002B7105"/>
    <w:rsid w:val="002C561E"/>
    <w:rsid w:val="003158D6"/>
    <w:rsid w:val="003605CD"/>
    <w:rsid w:val="003667DC"/>
    <w:rsid w:val="00386219"/>
    <w:rsid w:val="003B77F9"/>
    <w:rsid w:val="00421D61"/>
    <w:rsid w:val="00422EF8"/>
    <w:rsid w:val="00426965"/>
    <w:rsid w:val="00493EF5"/>
    <w:rsid w:val="004F7985"/>
    <w:rsid w:val="00517289"/>
    <w:rsid w:val="0052023B"/>
    <w:rsid w:val="005534E8"/>
    <w:rsid w:val="005B2F9B"/>
    <w:rsid w:val="005C1B60"/>
    <w:rsid w:val="005D4421"/>
    <w:rsid w:val="005E20D0"/>
    <w:rsid w:val="005F26E0"/>
    <w:rsid w:val="006906AD"/>
    <w:rsid w:val="00765A4F"/>
    <w:rsid w:val="007B285E"/>
    <w:rsid w:val="00841D9B"/>
    <w:rsid w:val="0085797E"/>
    <w:rsid w:val="00862F13"/>
    <w:rsid w:val="008650EA"/>
    <w:rsid w:val="008D3423"/>
    <w:rsid w:val="008F23B1"/>
    <w:rsid w:val="009133E8"/>
    <w:rsid w:val="009C4239"/>
    <w:rsid w:val="009D3C4E"/>
    <w:rsid w:val="00A32BE3"/>
    <w:rsid w:val="00A87062"/>
    <w:rsid w:val="00B215D4"/>
    <w:rsid w:val="00B94CDF"/>
    <w:rsid w:val="00C009F7"/>
    <w:rsid w:val="00C26153"/>
    <w:rsid w:val="00C35E32"/>
    <w:rsid w:val="00C43693"/>
    <w:rsid w:val="00D3573C"/>
    <w:rsid w:val="00D6571D"/>
    <w:rsid w:val="00DF3716"/>
    <w:rsid w:val="00E61FB3"/>
    <w:rsid w:val="00E83EA5"/>
    <w:rsid w:val="00E8425F"/>
    <w:rsid w:val="00ED142E"/>
    <w:rsid w:val="00ED57AD"/>
    <w:rsid w:val="00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paragraph" w:styleId="a7">
    <w:name w:val="List Paragraph"/>
    <w:basedOn w:val="a"/>
    <w:uiPriority w:val="34"/>
    <w:qFormat/>
    <w:rsid w:val="002B7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paragraph" w:styleId="a7">
    <w:name w:val="List Paragraph"/>
    <w:basedOn w:val="a"/>
    <w:uiPriority w:val="34"/>
    <w:qFormat/>
    <w:rsid w:val="002B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5154-A110-4401-9A3B-5F1BCE7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37</cp:revision>
  <cp:lastPrinted>2022-09-01T08:55:00Z</cp:lastPrinted>
  <dcterms:created xsi:type="dcterms:W3CDTF">2022-08-07T15:33:00Z</dcterms:created>
  <dcterms:modified xsi:type="dcterms:W3CDTF">2022-09-01T09:19:00Z</dcterms:modified>
</cp:coreProperties>
</file>