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BC" w:rsidRPr="008C1C11" w:rsidRDefault="0086306F">
      <w:pPr>
        <w:pStyle w:val="1"/>
        <w:jc w:val="center"/>
        <w:rPr>
          <w:rFonts w:ascii="Times New Roman" w:hAnsi="Times New Roman"/>
          <w:sz w:val="32"/>
          <w:szCs w:val="32"/>
          <w:lang w:val="uk-UA"/>
        </w:rPr>
      </w:pPr>
      <w:bookmarkStart w:id="0" w:name="OLE_LINK1"/>
      <w:r w:rsidRPr="008C1C11">
        <w:rPr>
          <w:rFonts w:ascii="Times New Roman" w:hAnsi="Times New Roman"/>
          <w:noProof/>
          <w:color w:val="000000"/>
          <w:sz w:val="32"/>
          <w:szCs w:val="32"/>
          <w:u w:color="000000"/>
          <w:lang w:val="ru-RU"/>
        </w:rPr>
        <w:drawing>
          <wp:inline distT="0" distB="0" distL="0" distR="0">
            <wp:extent cx="6196966" cy="1229940"/>
            <wp:effectExtent l="0" t="0" r="0" b="0"/>
            <wp:docPr id="1073741825" name="officeArt object" descr="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бланк.jpg" descr="бланк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r="543" b="6349"/>
                    <a:stretch>
                      <a:fillRect/>
                    </a:stretch>
                  </pic:blipFill>
                  <pic:spPr>
                    <a:xfrm>
                      <a:off x="0" y="0"/>
                      <a:ext cx="6196966" cy="1229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1" w:name="OLE_LINK2"/>
    </w:p>
    <w:p w:rsidR="00F603BC" w:rsidRPr="008C1C11" w:rsidRDefault="0086306F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u w:color="002060"/>
          <w:lang w:val="uk-UA"/>
        </w:rPr>
      </w:pPr>
      <w:r w:rsidRPr="008C1C11">
        <w:rPr>
          <w:rFonts w:ascii="Times New Roman" w:hAnsi="Times New Roman"/>
          <w:color w:val="002060"/>
          <w:sz w:val="32"/>
          <w:szCs w:val="32"/>
          <w:u w:color="002060"/>
          <w:lang w:val="uk-UA"/>
        </w:rPr>
        <w:t>«</w:t>
      </w:r>
      <w:r w:rsidRPr="008C1C11">
        <w:rPr>
          <w:rFonts w:ascii="Times New Roman" w:hAnsi="Times New Roman"/>
          <w:color w:val="002060"/>
          <w:sz w:val="36"/>
          <w:szCs w:val="36"/>
          <w:u w:color="FF0000"/>
          <w:lang w:val="uk-UA"/>
        </w:rPr>
        <w:t>АКТУАЛЬНІ ПИТАННЯ БЕЗПЕКИ МАЛОГО ТА СЕРЕДНЬОГО БІЗНЕСУ В СФЕРІ ТРУДОВИХ ТА ПОДАТКОВИХ ВІДНОСИН</w:t>
      </w:r>
      <w:r w:rsidRPr="008C1C11">
        <w:rPr>
          <w:rFonts w:ascii="Times New Roman" w:hAnsi="Times New Roman"/>
          <w:color w:val="002060"/>
          <w:sz w:val="32"/>
          <w:szCs w:val="32"/>
          <w:u w:color="002060"/>
          <w:lang w:val="uk-UA"/>
        </w:rPr>
        <w:t>»</w:t>
      </w:r>
    </w:p>
    <w:p w:rsidR="00F603BC" w:rsidRPr="008C1C11" w:rsidRDefault="00F603BC">
      <w:pPr>
        <w:rPr>
          <w:lang w:val="uk-UA"/>
        </w:rPr>
      </w:pPr>
    </w:p>
    <w:p w:rsidR="00F603BC" w:rsidRPr="008C1C11" w:rsidRDefault="0086306F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2060"/>
          <w:kern w:val="28"/>
          <w:sz w:val="32"/>
          <w:szCs w:val="32"/>
          <w:u w:color="002060"/>
          <w:lang w:val="uk-UA"/>
        </w:rPr>
      </w:pPr>
      <w:r w:rsidRPr="008C1C11">
        <w:rPr>
          <w:rFonts w:ascii="Times New Roman" w:hAnsi="Times New Roman"/>
          <w:color w:val="002060"/>
          <w:kern w:val="28"/>
          <w:sz w:val="32"/>
          <w:szCs w:val="32"/>
          <w:u w:color="002060"/>
          <w:lang w:val="uk-UA"/>
        </w:rPr>
        <w:t>Програма семінару</w:t>
      </w:r>
    </w:p>
    <w:p w:rsidR="00F603BC" w:rsidRPr="008C1C11" w:rsidRDefault="0086306F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2060"/>
          <w:kern w:val="28"/>
          <w:sz w:val="32"/>
          <w:szCs w:val="32"/>
          <w:u w:color="002060"/>
          <w:lang w:val="uk-UA"/>
        </w:rPr>
      </w:pPr>
      <w:r w:rsidRPr="008C1C11">
        <w:rPr>
          <w:rFonts w:ascii="Times New Roman" w:hAnsi="Times New Roman"/>
          <w:color w:val="002060"/>
          <w:kern w:val="28"/>
          <w:sz w:val="32"/>
          <w:szCs w:val="32"/>
          <w:u w:color="002060"/>
          <w:lang w:val="uk-UA"/>
        </w:rPr>
        <w:t xml:space="preserve">29 травня 2019 р., зал на 8-му поверсі Київської ТПП, </w:t>
      </w:r>
    </w:p>
    <w:p w:rsidR="00F603BC" w:rsidRPr="008C1C11" w:rsidRDefault="0086306F">
      <w:pPr>
        <w:pStyle w:val="1"/>
        <w:spacing w:after="0"/>
        <w:jc w:val="center"/>
        <w:rPr>
          <w:rFonts w:ascii="Times New Roman" w:eastAsia="Times New Roman" w:hAnsi="Times New Roman" w:cs="Times New Roman"/>
          <w:color w:val="002060"/>
          <w:kern w:val="28"/>
          <w:sz w:val="32"/>
          <w:szCs w:val="32"/>
          <w:u w:color="002060"/>
          <w:lang w:val="uk-UA"/>
        </w:rPr>
      </w:pPr>
      <w:r w:rsidRPr="008C1C11">
        <w:rPr>
          <w:rFonts w:ascii="Times New Roman" w:hAnsi="Times New Roman"/>
          <w:color w:val="002060"/>
          <w:kern w:val="28"/>
          <w:sz w:val="32"/>
          <w:szCs w:val="32"/>
          <w:u w:color="002060"/>
          <w:lang w:val="uk-UA"/>
        </w:rPr>
        <w:t>вул. Б. Хмельницького, 55, м. Київ</w:t>
      </w:r>
    </w:p>
    <w:p w:rsidR="00F603BC" w:rsidRPr="008C1C11" w:rsidRDefault="00F603BC">
      <w:pPr>
        <w:spacing w:after="0"/>
        <w:rPr>
          <w:lang w:val="uk-UA"/>
        </w:rPr>
      </w:pPr>
    </w:p>
    <w:tbl>
      <w:tblPr>
        <w:tblStyle w:val="TableNormal"/>
        <w:tblW w:w="10710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135"/>
        <w:gridCol w:w="9575"/>
      </w:tblGrid>
      <w:tr w:rsidR="00F603BC" w:rsidRPr="008C1C11" w:rsidTr="008C1C11">
        <w:trPr>
          <w:trHeight w:val="121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09:30-10:00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spacing w:after="0" w:line="240" w:lineRule="auto"/>
              <w:ind w:left="-80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учасників Семінару</w:t>
            </w:r>
          </w:p>
        </w:tc>
      </w:tr>
      <w:tr w:rsidR="00F603BC" w:rsidRPr="008C1C11" w:rsidTr="008C1C11">
        <w:trPr>
          <w:trHeight w:val="121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10:00-10:15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spacing w:after="0" w:line="240" w:lineRule="auto"/>
              <w:ind w:left="5" w:right="57"/>
              <w:jc w:val="both"/>
              <w:rPr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Вітальне слово віце-президента Київської ТПП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Віталія Майстренко</w:t>
            </w:r>
          </w:p>
        </w:tc>
      </w:tr>
      <w:tr w:rsidR="00F603BC" w:rsidRPr="008C1C11" w:rsidTr="008C1C11">
        <w:trPr>
          <w:trHeight w:val="437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10:15-11:15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>Анатолій Владичанський</w:t>
            </w:r>
            <w:r w:rsidRPr="008C1C11">
              <w:rPr>
                <w:rFonts w:ascii="Times New Roman" w:hAnsi="Times New Roman"/>
                <w:sz w:val="24"/>
                <w:szCs w:val="24"/>
                <w:u w:color="0070C0"/>
                <w:lang w:val="uk-UA"/>
              </w:rPr>
              <w:t>, г</w:t>
            </w:r>
            <w:r w:rsidRPr="008C1C11">
              <w:rPr>
                <w:rFonts w:ascii="Times New Roman" w:hAnsi="Times New Roman"/>
                <w:sz w:val="24"/>
                <w:szCs w:val="24"/>
                <w:u w:color="00B050"/>
                <w:lang w:val="uk-UA"/>
              </w:rPr>
              <w:t>олова громадської ради Державної служби України з питань праці, адвокат АО «Новатор Прайм»</w:t>
            </w:r>
          </w:p>
          <w:p w:rsidR="00F603BC" w:rsidRPr="008C1C11" w:rsidRDefault="0086306F" w:rsidP="008C1C11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Тема виступу: 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shd w:val="clear" w:color="auto" w:fill="FFFFFF"/>
                <w:lang w:val="uk-UA"/>
              </w:rPr>
              <w:t>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>Нормативне регулювання вимог трудового</w:t>
            </w:r>
          </w:p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206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законодавства та ризики підприємств малого</w:t>
            </w:r>
          </w:p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та середнього бізнесу у разі порушень цих  вимог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0000"/>
                <w:lang w:val="uk-UA"/>
              </w:rPr>
              <w:t>»</w:t>
            </w:r>
          </w:p>
          <w:p w:rsidR="00F603BC" w:rsidRPr="008C1C11" w:rsidRDefault="0086306F" w:rsidP="008C1C11">
            <w:pPr>
              <w:spacing w:before="40"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numPr>
                <w:ilvl w:val="0"/>
                <w:numId w:val="1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Законодавче посилення відповідальності за дотриманням трудового законодавства та запровадження нових підходів у контрольних заходах – перевірка та інспекційне відвідування;</w:t>
            </w:r>
          </w:p>
          <w:p w:rsidR="00F603BC" w:rsidRPr="008C1C11" w:rsidRDefault="0086306F" w:rsidP="008C1C11">
            <w:pPr>
              <w:numPr>
                <w:ilvl w:val="0"/>
                <w:numId w:val="1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Підстави для контрольних заходів у сфері трудових відносин. Їх аналіз та структура ризиків.  Порядок дій під час проведення інспекційних відвідувань, засоби реагування на порушення допущені інспекторами праці;</w:t>
            </w:r>
          </w:p>
          <w:p w:rsidR="00F603BC" w:rsidRPr="008C1C11" w:rsidRDefault="0086306F" w:rsidP="008C1C11">
            <w:pPr>
              <w:numPr>
                <w:ilvl w:val="0"/>
                <w:numId w:val="1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Права суб’єктів господарювання під час контрольних заходів, та можливості їх реалізації.</w:t>
            </w:r>
          </w:p>
        </w:tc>
      </w:tr>
      <w:tr w:rsidR="00F603BC" w:rsidRPr="008C1C11" w:rsidTr="00E71889">
        <w:trPr>
          <w:trHeight w:val="755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11:15-11:30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1134" w:type="dxa"/>
            </w:tcMar>
          </w:tcPr>
          <w:p w:rsidR="00F603BC" w:rsidRPr="008C1C11" w:rsidRDefault="0086306F" w:rsidP="008C1C11">
            <w:pPr>
              <w:spacing w:after="0"/>
              <w:ind w:left="77" w:right="1054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Перерва на каву та спілкування із спікерами </w:t>
            </w:r>
          </w:p>
        </w:tc>
      </w:tr>
      <w:tr w:rsidR="00F603BC" w:rsidRPr="008C1C11" w:rsidTr="008C1C11">
        <w:trPr>
          <w:trHeight w:val="3164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before="40"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11:30-12:30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1134" w:type="dxa"/>
            </w:tcMar>
          </w:tcPr>
          <w:p w:rsidR="00F603BC" w:rsidRPr="008C1C11" w:rsidRDefault="0086306F" w:rsidP="008C1C11">
            <w:pPr>
              <w:spacing w:after="0"/>
              <w:ind w:left="-15" w:right="105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>Юрій</w:t>
            </w:r>
            <w:r w:rsidR="008C1C11"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>Долженко</w:t>
            </w:r>
            <w:r w:rsidRPr="008C1C11">
              <w:rPr>
                <w:rFonts w:ascii="Times New Roman" w:hAnsi="Times New Roman"/>
                <w:sz w:val="24"/>
                <w:szCs w:val="24"/>
                <w:u w:color="0070C0"/>
                <w:lang w:val="uk-UA"/>
              </w:rPr>
              <w:t xml:space="preserve">, </w:t>
            </w:r>
            <w:r w:rsidRPr="008C1C11">
              <w:rPr>
                <w:rFonts w:ascii="Times New Roman" w:hAnsi="Times New Roman"/>
                <w:sz w:val="24"/>
                <w:szCs w:val="24"/>
                <w:u w:color="00B050"/>
                <w:lang w:val="uk-UA"/>
              </w:rPr>
              <w:t>партнер,  адвокат АО «Яр.Вал»</w:t>
            </w:r>
          </w:p>
          <w:p w:rsidR="00F603BC" w:rsidRPr="008C1C11" w:rsidRDefault="0086306F" w:rsidP="008C1C11">
            <w:pPr>
              <w:spacing w:after="0"/>
              <w:ind w:left="-15" w:right="10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2060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Тема виступу:</w:t>
            </w:r>
            <w:r w:rsidR="008C1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Як захиститись від необґрунтованих</w:t>
            </w:r>
          </w:p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претензій інспекторів праці</w:t>
            </w:r>
            <w:r w:rsidRPr="008C1C11">
              <w:rPr>
                <w:rFonts w:ascii="Times New Roman" w:hAnsi="Times New Roman"/>
                <w:sz w:val="24"/>
                <w:szCs w:val="24"/>
                <w:u w:val="single" w:color="000000"/>
                <w:lang w:val="uk-UA"/>
              </w:rPr>
              <w:t>»</w:t>
            </w:r>
          </w:p>
          <w:p w:rsidR="00F603BC" w:rsidRPr="008C1C11" w:rsidRDefault="0086306F" w:rsidP="008C1C11">
            <w:pPr>
              <w:spacing w:before="40"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numPr>
                <w:ilvl w:val="0"/>
                <w:numId w:val="2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Як убезпечити підприємства малого та середнього бізнесу від порушень у сфері трудового законодавства;</w:t>
            </w:r>
          </w:p>
          <w:p w:rsidR="00F603BC" w:rsidRPr="008C1C11" w:rsidRDefault="0086306F" w:rsidP="008C1C11">
            <w:pPr>
              <w:numPr>
                <w:ilvl w:val="0"/>
                <w:numId w:val="2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Переваги та недоліки різних форм трудових відносин;</w:t>
            </w:r>
          </w:p>
          <w:p w:rsidR="00F603BC" w:rsidRPr="008C1C11" w:rsidRDefault="0086306F" w:rsidP="008C1C11">
            <w:pPr>
              <w:numPr>
                <w:ilvl w:val="0"/>
                <w:numId w:val="2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 xml:space="preserve">Аналіз типових порушень трудового законодавства; </w:t>
            </w:r>
          </w:p>
          <w:p w:rsidR="00F603BC" w:rsidRPr="008C1C11" w:rsidRDefault="0086306F" w:rsidP="008C1C11">
            <w:pPr>
              <w:numPr>
                <w:ilvl w:val="0"/>
                <w:numId w:val="2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Практичні рекомендації в частині підготовки до планових та позапланових заходів контролюючих органів.</w:t>
            </w:r>
          </w:p>
        </w:tc>
      </w:tr>
      <w:tr w:rsidR="00F603BC" w:rsidRPr="008C1C11" w:rsidTr="008C1C11">
        <w:trPr>
          <w:trHeight w:val="3297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before="40"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12:30-13:30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spacing w:after="0"/>
              <w:ind w:left="5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Олександр Попов, </w:t>
            </w: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r w:rsidRPr="00E71889">
              <w:rPr>
                <w:rFonts w:ascii="Times New Roman" w:hAnsi="Times New Roman"/>
                <w:sz w:val="24"/>
                <w:szCs w:val="24"/>
                <w:lang w:val="uk-UA"/>
              </w:rPr>
              <w:t>напря</w:t>
            </w:r>
            <w:r w:rsidR="00E71889" w:rsidRPr="00E7188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71889">
              <w:rPr>
                <w:rFonts w:ascii="Times New Roman" w:hAnsi="Times New Roman"/>
                <w:sz w:val="24"/>
                <w:szCs w:val="24"/>
                <w:lang w:val="uk-UA"/>
              </w:rPr>
              <w:t>ку ЮРЛІГА</w:t>
            </w:r>
          </w:p>
          <w:p w:rsidR="00F603BC" w:rsidRPr="008C1C11" w:rsidRDefault="0086306F" w:rsidP="008C1C11">
            <w:pPr>
              <w:spacing w:after="0"/>
              <w:ind w:left="5" w:right="57"/>
              <w:rPr>
                <w:rFonts w:ascii="Times New Roman" w:hAnsi="Times New Roman"/>
                <w:sz w:val="24"/>
                <w:szCs w:val="24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Тема виступу :</w:t>
            </w:r>
            <w:r w:rsidR="008C1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C11" w:rsidRPr="008C1C1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Як убезпечити підприємства малого та середнього бізнесу  від порушень у сфері трудового законодавства. Переваги та недоліки різних форм трудових відносин.</w:t>
            </w:r>
            <w:r w:rsidR="008C1C11"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Права суб’єктів господарювання під час контрольних заходів, та можливості їх реалізації»</w:t>
            </w:r>
          </w:p>
          <w:p w:rsidR="00F603BC" w:rsidRPr="008C1C11" w:rsidRDefault="0086306F" w:rsidP="008C1C11">
            <w:pPr>
              <w:pStyle w:val="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sz w:val="22"/>
                <w:szCs w:val="22"/>
                <w:u w:val="single" w:color="000000"/>
                <w:lang w:val="uk-UA"/>
              </w:rPr>
            </w:pPr>
            <w:r w:rsidRPr="008C1C11">
              <w:rPr>
                <w:rFonts w:ascii="Times New Roman" w:eastAsia="Calibri" w:hAnsi="Times New Roman" w:cs="Calibri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  <w:t xml:space="preserve">Практичний кейс: </w:t>
            </w:r>
            <w:r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  <w:t>«Практичні та методологічні аспекти оформлення трудових відносин»</w:t>
            </w:r>
          </w:p>
          <w:p w:rsidR="00F603BC" w:rsidRPr="008C1C11" w:rsidRDefault="0086306F" w:rsidP="008C1C11">
            <w:pPr>
              <w:spacing w:before="40"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оформлення цивільно</w:t>
            </w:r>
            <w:r w:rsidR="00E71889">
              <w:rPr>
                <w:rFonts w:ascii="Times New Roman" w:hAnsi="Times New Roman"/>
                <w:sz w:val="24"/>
                <w:szCs w:val="24"/>
                <w:lang w:val="uk-UA"/>
              </w:rPr>
              <w:t>-правових угод;</w:t>
            </w:r>
          </w:p>
          <w:p w:rsidR="00F603BC" w:rsidRPr="008C1C11" w:rsidRDefault="0086306F" w:rsidP="00E71889">
            <w:pPr>
              <w:spacing w:after="0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718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оформлення </w:t>
            </w: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господарських відносин з фізичними особами </w:t>
            </w:r>
            <w:r w:rsidR="00E718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підприємцями</w:t>
            </w:r>
            <w:r w:rsidR="00E718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603BC" w:rsidRPr="008C1C11" w:rsidTr="00E71889">
        <w:trPr>
          <w:trHeight w:val="563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13:30-14:15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jc w:val="both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Обід</w:t>
            </w:r>
          </w:p>
        </w:tc>
      </w:tr>
      <w:tr w:rsidR="00F603BC" w:rsidRPr="008C1C11" w:rsidTr="008C1C11">
        <w:trPr>
          <w:trHeight w:val="475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before="40"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14:15-15:15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u w:color="00B05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>Антон</w:t>
            </w:r>
            <w:r w:rsid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lang w:val="uk-UA"/>
              </w:rPr>
              <w:t>Поляничко</w:t>
            </w:r>
            <w:r w:rsidRPr="008C1C11">
              <w:rPr>
                <w:rFonts w:ascii="Times New Roman" w:hAnsi="Times New Roman"/>
                <w:sz w:val="24"/>
                <w:szCs w:val="24"/>
                <w:u w:color="0070C0"/>
                <w:lang w:val="uk-UA"/>
              </w:rPr>
              <w:t xml:space="preserve">, </w:t>
            </w:r>
            <w:r w:rsidRPr="008C1C11">
              <w:rPr>
                <w:rFonts w:ascii="Times New Roman" w:hAnsi="Times New Roman"/>
                <w:sz w:val="24"/>
                <w:szCs w:val="24"/>
                <w:u w:color="00B050"/>
                <w:lang w:val="uk-UA"/>
              </w:rPr>
              <w:t>адвокат, Голова Наукової ради Асоціації податкових радників</w:t>
            </w:r>
          </w:p>
          <w:p w:rsidR="00F603BC" w:rsidRPr="008C1C11" w:rsidRDefault="0086306F" w:rsidP="008C1C11">
            <w:pPr>
              <w:spacing w:before="40" w:after="0"/>
              <w:ind w:left="5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Тема виступу:</w:t>
            </w:r>
            <w:r w:rsidR="00E718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Судовий захист прав та інтересів платників податків – суб’єктів малого та середнього бізнесу. Огляд актуальної судової практики з податкових спорів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»</w:t>
            </w:r>
          </w:p>
          <w:p w:rsidR="00F603BC" w:rsidRPr="008C1C11" w:rsidRDefault="0086306F" w:rsidP="008C1C11">
            <w:pPr>
              <w:spacing w:before="40"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numPr>
                <w:ilvl w:val="0"/>
                <w:numId w:val="3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Особливості захисту прав та інтересів платника податків під час реалізації контролюючими органами компетенції щодо призначення та проведення податкових перевірок: способи захисту залежно від виду перевірок, вимоги до наказів про призначення перевірок тощо - практика Верховного Суду;</w:t>
            </w:r>
          </w:p>
          <w:p w:rsidR="00F603BC" w:rsidRPr="008C1C11" w:rsidRDefault="0086306F" w:rsidP="008C1C11">
            <w:pPr>
              <w:numPr>
                <w:ilvl w:val="0"/>
                <w:numId w:val="3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Правові позиції Верховного Суду в справах щодо відображення в податковому обліку господарських операцій з контрагентами, що мають дефекти правового статусу;</w:t>
            </w:r>
          </w:p>
          <w:p w:rsidR="00F603BC" w:rsidRPr="008C1C11" w:rsidRDefault="0086306F" w:rsidP="008C1C11">
            <w:pPr>
              <w:numPr>
                <w:ilvl w:val="0"/>
                <w:numId w:val="3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Особливості захисту прав та інтересів платників податків у справах щодо оскарження зупинення реєстрації податкових накладних;</w:t>
            </w:r>
          </w:p>
          <w:p w:rsidR="00F603BC" w:rsidRPr="008C1C11" w:rsidRDefault="0086306F" w:rsidP="008C1C11">
            <w:pPr>
              <w:numPr>
                <w:ilvl w:val="0"/>
                <w:numId w:val="3"/>
              </w:numPr>
              <w:spacing w:before="40"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Особливості розгляду окремих категорій податкових спорів.</w:t>
            </w:r>
          </w:p>
        </w:tc>
      </w:tr>
      <w:tr w:rsidR="00F603BC" w:rsidRPr="008C1C11" w:rsidTr="008C1C11">
        <w:trPr>
          <w:trHeight w:val="481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15:15-16:15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57" w:type="dxa"/>
              <w:bottom w:w="80" w:type="dxa"/>
              <w:right w:w="137" w:type="dxa"/>
            </w:tcMar>
          </w:tcPr>
          <w:p w:rsidR="00F603BC" w:rsidRPr="008C1C11" w:rsidRDefault="0086306F" w:rsidP="008C1C11">
            <w:pPr>
              <w:spacing w:after="0"/>
              <w:ind w:left="-15" w:right="57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color="00B050"/>
                <w:shd w:val="clear" w:color="auto" w:fill="FFFFFF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shd w:val="clear" w:color="auto" w:fill="FFFFFF"/>
                <w:lang w:val="uk-UA"/>
              </w:rPr>
              <w:t>Олексій</w:t>
            </w:r>
            <w:r w:rsid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shd w:val="clear" w:color="auto" w:fill="FFFFFF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70C0"/>
                <w:shd w:val="clear" w:color="auto" w:fill="FFFFFF"/>
                <w:lang w:val="uk-UA"/>
              </w:rPr>
              <w:t>Лановий</w:t>
            </w:r>
            <w:r w:rsidRPr="008C1C11">
              <w:rPr>
                <w:rFonts w:ascii="Times New Roman" w:hAnsi="Times New Roman"/>
                <w:sz w:val="24"/>
                <w:szCs w:val="24"/>
                <w:u w:color="0070C0"/>
                <w:shd w:val="clear" w:color="auto" w:fill="FFFFFF"/>
                <w:lang w:val="uk-UA"/>
              </w:rPr>
              <w:t xml:space="preserve">, </w:t>
            </w:r>
            <w:r w:rsidRPr="008C1C11">
              <w:rPr>
                <w:rFonts w:ascii="Times New Roman" w:hAnsi="Times New Roman"/>
                <w:sz w:val="24"/>
                <w:szCs w:val="24"/>
                <w:u w:color="00B050"/>
                <w:shd w:val="clear" w:color="auto" w:fill="FFFFFF"/>
                <w:lang w:val="uk-UA"/>
              </w:rPr>
              <w:t>партнер,  адвокат АО «Яр.Вал»</w:t>
            </w:r>
          </w:p>
          <w:p w:rsidR="00F603BC" w:rsidRPr="008C1C11" w:rsidRDefault="0086306F" w:rsidP="008C1C11">
            <w:pPr>
              <w:spacing w:after="0"/>
              <w:ind w:left="-15" w:right="57"/>
              <w:rPr>
                <w:rFonts w:ascii="Times New Roman" w:eastAsia="Times New Roman" w:hAnsi="Times New Roman" w:cs="Times New Roman"/>
                <w:sz w:val="24"/>
                <w:szCs w:val="24"/>
                <w:u w:color="002060"/>
                <w:shd w:val="clear" w:color="auto" w:fill="FFFFFF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Тема виступу: 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>Особливості державного контролю суб’єктів</w:t>
            </w:r>
            <w:r w:rsid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 xml:space="preserve">господарювання на даний час. </w:t>
            </w:r>
            <w:r w:rsid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 xml:space="preserve"> 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shd w:val="clear" w:color="auto" w:fill="FFFFFF"/>
                <w:lang w:val="uk-UA"/>
              </w:rPr>
              <w:t>Актуальна судова практика»</w:t>
            </w:r>
          </w:p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2060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Практичний кейс: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color="002060"/>
                <w:lang w:val="uk-UA"/>
              </w:rPr>
              <w:t xml:space="preserve"> «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Практичні поради з деяких питань,</w:t>
            </w:r>
          </w:p>
          <w:p w:rsidR="00F603BC" w:rsidRPr="008C1C11" w:rsidRDefault="0086306F" w:rsidP="008C1C1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2060"/>
                <w:lang w:val="uk-UA"/>
              </w:rPr>
              <w:t>що мають значення для малого та середнього бізнесу</w:t>
            </w: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 w:color="000000"/>
                <w:lang w:val="uk-UA"/>
              </w:rPr>
              <w:t>»</w:t>
            </w:r>
          </w:p>
          <w:p w:rsidR="00F603BC" w:rsidRPr="008C1C11" w:rsidRDefault="0086306F" w:rsidP="008C1C11">
            <w:pPr>
              <w:shd w:val="clear" w:color="auto" w:fill="FFFFFF"/>
              <w:spacing w:after="0"/>
              <w:ind w:right="57" w:hanging="1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numPr>
                <w:ilvl w:val="0"/>
                <w:numId w:val="4"/>
              </w:numPr>
              <w:shd w:val="clear" w:color="auto" w:fill="FFFFFF"/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Допуск до податкових перевірок. Скасування наказів та/або ухвал про призначення перевірок контролюючими органами – дієвий механізм захисту малого та середнього бізнесу в розрізі практики Верховного Суду;</w:t>
            </w:r>
          </w:p>
          <w:p w:rsidR="00F603BC" w:rsidRPr="008C1C11" w:rsidRDefault="0086306F" w:rsidP="008C1C11">
            <w:pPr>
              <w:numPr>
                <w:ilvl w:val="0"/>
                <w:numId w:val="4"/>
              </w:numPr>
              <w:shd w:val="clear" w:color="auto" w:fill="FFFFFF"/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Реєстрація податкових накладних. Новели та ризики;</w:t>
            </w:r>
          </w:p>
          <w:p w:rsidR="00F603BC" w:rsidRPr="008C1C11" w:rsidRDefault="0086306F" w:rsidP="008C1C11">
            <w:pPr>
              <w:numPr>
                <w:ilvl w:val="0"/>
                <w:numId w:val="4"/>
              </w:numPr>
              <w:shd w:val="clear" w:color="auto" w:fill="FFFFFF"/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Блокування та арешт коштів на електронних рахунках підприємств малого та середнього бізнесу;</w:t>
            </w:r>
          </w:p>
          <w:p w:rsidR="00F603BC" w:rsidRPr="008C1C11" w:rsidRDefault="0086306F" w:rsidP="008C1C11">
            <w:pPr>
              <w:numPr>
                <w:ilvl w:val="0"/>
                <w:numId w:val="4"/>
              </w:numPr>
              <w:shd w:val="clear" w:color="auto" w:fill="FFFFFF"/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Актуальні питання контролю (ДФС та НБУ) рахунків ФОПів та ризикових операцій суб’єктів господарювання малого та середнього бізнесу;</w:t>
            </w:r>
          </w:p>
          <w:p w:rsidR="00F603BC" w:rsidRPr="008C1C11" w:rsidRDefault="0086306F" w:rsidP="008C1C11">
            <w:pPr>
              <w:numPr>
                <w:ilvl w:val="0"/>
                <w:numId w:val="4"/>
              </w:numPr>
              <w:shd w:val="clear" w:color="auto" w:fill="FFFFFF"/>
              <w:spacing w:after="0"/>
              <w:ind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color="002060"/>
                <w:lang w:val="uk-UA"/>
              </w:rPr>
              <w:t>Аутстафінг (оренда трудових ресурсів) – оптимізація або мінімізація податкових зобов’язань в межах правового поля.</w:t>
            </w:r>
          </w:p>
        </w:tc>
      </w:tr>
      <w:tr w:rsidR="00F603BC" w:rsidRPr="008C1C11" w:rsidTr="008C1C11">
        <w:trPr>
          <w:trHeight w:val="4951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before="40"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16:15-17:30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680" w:type="dxa"/>
            </w:tcMar>
          </w:tcPr>
          <w:p w:rsidR="00F603BC" w:rsidRPr="008C1C11" w:rsidRDefault="0086306F" w:rsidP="008C1C11">
            <w:pPr>
              <w:pStyle w:val="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</w:pPr>
            <w:r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color="000000"/>
                <w:lang w:val="uk-UA"/>
              </w:rPr>
              <w:t>Дарія Євтушенко, с</w:t>
            </w:r>
            <w:r w:rsidRPr="008C1C11">
              <w:rPr>
                <w:rFonts w:ascii="Times New Roman" w:eastAsia="Calibri" w:hAnsi="Times New Roman" w:cs="Calibri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  <w:t>тарший юрист корпоративної практики компанії ASAGROUP, експерт в напрямку IP &amp; IT права, а також фахівець договірного права.</w:t>
            </w:r>
          </w:p>
          <w:p w:rsidR="00F603BC" w:rsidRPr="008C1C11" w:rsidRDefault="0086306F" w:rsidP="008C1C11">
            <w:pPr>
              <w:pStyle w:val="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before="40" w:after="0"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</w:pPr>
            <w:r w:rsidRPr="008C1C11">
              <w:rPr>
                <w:rFonts w:ascii="Times New Roman" w:eastAsia="Calibri" w:hAnsi="Times New Roman" w:cs="Calibri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  <w:t xml:space="preserve">Тема виступу: </w:t>
            </w:r>
            <w:r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  <w:t>«Як захистити інтелектуальну власність компанії? -Як працює NDA в Україні?»</w:t>
            </w:r>
          </w:p>
          <w:p w:rsidR="00F603BC" w:rsidRPr="008C1C11" w:rsidRDefault="0086306F" w:rsidP="008C1C11">
            <w:pPr>
              <w:pStyle w:val="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before="40" w:after="0" w:line="276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</w:pPr>
            <w:r w:rsidRPr="008C1C11">
              <w:rPr>
                <w:rFonts w:ascii="Times New Roman" w:eastAsia="Calibri" w:hAnsi="Times New Roman" w:cs="Calibri"/>
                <w:b w:val="0"/>
                <w:bCs w:val="0"/>
                <w:color w:val="000000"/>
                <w:spacing w:val="0"/>
                <w:sz w:val="24"/>
                <w:szCs w:val="24"/>
                <w:u w:color="000000"/>
                <w:lang w:val="uk-UA"/>
              </w:rPr>
              <w:t xml:space="preserve">Практичний кейс:  </w:t>
            </w:r>
            <w:r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  <w:t xml:space="preserve">«Юридичні тонкощі - Угода про </w:t>
            </w:r>
            <w:r w:rsidR="008C1C11"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  <w:t>не конкуренцію</w:t>
            </w:r>
            <w:r w:rsidRPr="008C1C11">
              <w:rPr>
                <w:rFonts w:ascii="Times New Roman" w:eastAsia="Calibri" w:hAnsi="Times New Roman" w:cs="Calibri"/>
                <w:color w:val="000000"/>
                <w:spacing w:val="0"/>
                <w:sz w:val="24"/>
                <w:szCs w:val="24"/>
                <w:u w:val="single" w:color="000000"/>
                <w:lang w:val="uk-UA"/>
              </w:rPr>
              <w:t>.</w:t>
            </w:r>
          </w:p>
          <w:p w:rsidR="00F603BC" w:rsidRPr="008C1C11" w:rsidRDefault="0086306F" w:rsidP="008C1C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/>
              </w:rPr>
              <w:t>Як захистити свої інвестиції в розвиток компетенцій співробітника від ризиків його переходу до іншого роботодавця?»</w:t>
            </w:r>
          </w:p>
          <w:p w:rsidR="00F603BC" w:rsidRPr="008C1C11" w:rsidRDefault="0086306F" w:rsidP="008C1C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Тези:</w:t>
            </w:r>
          </w:p>
          <w:p w:rsidR="00F603BC" w:rsidRPr="008C1C11" w:rsidRDefault="0086306F" w:rsidP="008C1C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-Які існують форми захисту права інтелектуальної власності;</w:t>
            </w:r>
          </w:p>
          <w:p w:rsidR="00F603BC" w:rsidRPr="008C1C11" w:rsidRDefault="0086306F" w:rsidP="008C1C11">
            <w:pPr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Способи захисту прав інтелектуальної власності судом;</w:t>
            </w:r>
          </w:p>
          <w:p w:rsidR="00F603BC" w:rsidRPr="008C1C11" w:rsidRDefault="0086306F" w:rsidP="008C1C11">
            <w:pPr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Що таке NDА, як працює и навіщо його укладати?;</w:t>
            </w:r>
          </w:p>
          <w:p w:rsidR="00F603BC" w:rsidRPr="008C1C11" w:rsidRDefault="0086306F" w:rsidP="008C1C11">
            <w:pPr>
              <w:numPr>
                <w:ilvl w:val="0"/>
                <w:numId w:val="5"/>
              </w:numPr>
              <w:spacing w:after="0"/>
              <w:rPr>
                <w:sz w:val="24"/>
                <w:szCs w:val="24"/>
                <w:lang w:val="uk-UA"/>
              </w:rPr>
            </w:pPr>
            <w:r w:rsidRPr="008C1C11">
              <w:rPr>
                <w:rFonts w:ascii="Times New Roman" w:hAnsi="Times New Roman"/>
                <w:sz w:val="24"/>
                <w:szCs w:val="24"/>
                <w:lang w:val="uk-UA"/>
              </w:rPr>
              <w:t>Питання захисту своїх інвестицій від ризиків його переходу до іншого роботодавця.</w:t>
            </w:r>
          </w:p>
        </w:tc>
      </w:tr>
      <w:tr w:rsidR="00F603BC" w:rsidRPr="008C1C11" w:rsidTr="008C1C11">
        <w:trPr>
          <w:trHeight w:val="1210"/>
        </w:trPr>
        <w:tc>
          <w:tcPr>
            <w:tcW w:w="11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:rsidR="00F603BC" w:rsidRPr="008C1C11" w:rsidRDefault="0086306F">
            <w:pPr>
              <w:spacing w:before="40" w:after="0" w:line="240" w:lineRule="auto"/>
              <w:ind w:left="57" w:right="57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17:30-18:15</w:t>
            </w:r>
          </w:p>
        </w:tc>
        <w:tc>
          <w:tcPr>
            <w:tcW w:w="95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680" w:type="dxa"/>
            </w:tcMar>
          </w:tcPr>
          <w:p w:rsidR="00F603BC" w:rsidRPr="008C1C11" w:rsidRDefault="0086306F">
            <w:pPr>
              <w:shd w:val="clear" w:color="auto" w:fill="FFFFFF"/>
              <w:spacing w:after="0" w:line="240" w:lineRule="auto"/>
              <w:ind w:left="57" w:right="600"/>
              <w:rPr>
                <w:lang w:val="uk-UA"/>
              </w:rPr>
            </w:pPr>
            <w:r w:rsidRPr="008C1C1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Фасилітований нетворкінг (8 поверх) + перерва на каву</w:t>
            </w:r>
          </w:p>
        </w:tc>
      </w:tr>
      <w:bookmarkEnd w:id="0"/>
      <w:bookmarkEnd w:id="1"/>
    </w:tbl>
    <w:p w:rsidR="00F603BC" w:rsidRPr="008C1C11" w:rsidRDefault="00F603BC">
      <w:pPr>
        <w:widowControl w:val="0"/>
        <w:spacing w:after="0" w:line="240" w:lineRule="auto"/>
        <w:rPr>
          <w:lang w:val="uk-UA"/>
        </w:rPr>
      </w:pPr>
    </w:p>
    <w:sectPr w:rsidR="00F603BC" w:rsidRPr="008C1C11" w:rsidSect="00F603BC">
      <w:headerReference w:type="default" r:id="rId8"/>
      <w:footerReference w:type="default" r:id="rId9"/>
      <w:pgSz w:w="12240" w:h="15840"/>
      <w:pgMar w:top="0" w:right="1041" w:bottom="709" w:left="1440" w:header="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08" w:rsidRDefault="00CC3E08" w:rsidP="00F603BC">
      <w:pPr>
        <w:spacing w:after="0" w:line="240" w:lineRule="auto"/>
      </w:pPr>
      <w:r>
        <w:separator/>
      </w:r>
    </w:p>
  </w:endnote>
  <w:endnote w:type="continuationSeparator" w:id="1">
    <w:p w:rsidR="00CC3E08" w:rsidRDefault="00CC3E08" w:rsidP="00F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default"/>
    <w:sig w:usb0="00000000" w:usb1="00000000" w:usb2="00000000" w:usb3="00000000" w:csb0="00000000" w:csb1="00000000"/>
  </w:font>
  <w:font w:name="Helvetica Neu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BC" w:rsidRDefault="00F603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08" w:rsidRDefault="00CC3E08" w:rsidP="00F603BC">
      <w:pPr>
        <w:spacing w:after="0" w:line="240" w:lineRule="auto"/>
      </w:pPr>
      <w:r>
        <w:separator/>
      </w:r>
    </w:p>
  </w:footnote>
  <w:footnote w:type="continuationSeparator" w:id="1">
    <w:p w:rsidR="00CC3E08" w:rsidRDefault="00CC3E08" w:rsidP="00F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BC" w:rsidRDefault="00F603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D03"/>
    <w:multiLevelType w:val="hybridMultilevel"/>
    <w:tmpl w:val="8592B4A4"/>
    <w:lvl w:ilvl="0" w:tplc="90FA57AC">
      <w:start w:val="1"/>
      <w:numFmt w:val="bullet"/>
      <w:lvlText w:val="-"/>
      <w:lvlJc w:val="left"/>
      <w:pPr>
        <w:ind w:left="1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764F64">
      <w:start w:val="1"/>
      <w:numFmt w:val="bullet"/>
      <w:lvlText w:val="-"/>
      <w:lvlJc w:val="left"/>
      <w:pPr>
        <w:ind w:left="7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2A41A4">
      <w:start w:val="1"/>
      <w:numFmt w:val="bullet"/>
      <w:lvlText w:val="-"/>
      <w:lvlJc w:val="left"/>
      <w:pPr>
        <w:ind w:left="13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42A08">
      <w:start w:val="1"/>
      <w:numFmt w:val="bullet"/>
      <w:lvlText w:val="-"/>
      <w:lvlJc w:val="left"/>
      <w:pPr>
        <w:ind w:left="19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E8E72">
      <w:start w:val="1"/>
      <w:numFmt w:val="bullet"/>
      <w:lvlText w:val="-"/>
      <w:lvlJc w:val="left"/>
      <w:pPr>
        <w:ind w:left="25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B25C64">
      <w:start w:val="1"/>
      <w:numFmt w:val="bullet"/>
      <w:lvlText w:val="-"/>
      <w:lvlJc w:val="left"/>
      <w:pPr>
        <w:ind w:left="31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48BE0A">
      <w:start w:val="1"/>
      <w:numFmt w:val="bullet"/>
      <w:lvlText w:val="-"/>
      <w:lvlJc w:val="left"/>
      <w:pPr>
        <w:ind w:left="37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90E9AA">
      <w:start w:val="1"/>
      <w:numFmt w:val="bullet"/>
      <w:lvlText w:val="-"/>
      <w:lvlJc w:val="left"/>
      <w:pPr>
        <w:ind w:left="43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20DDA">
      <w:start w:val="1"/>
      <w:numFmt w:val="bullet"/>
      <w:lvlText w:val="-"/>
      <w:lvlJc w:val="left"/>
      <w:pPr>
        <w:ind w:left="4989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954225"/>
    <w:multiLevelType w:val="hybridMultilevel"/>
    <w:tmpl w:val="E0CC8FA6"/>
    <w:lvl w:ilvl="0" w:tplc="79425F30">
      <w:start w:val="1"/>
      <w:numFmt w:val="bullet"/>
      <w:lvlText w:val="-"/>
      <w:lvlJc w:val="left"/>
      <w:pPr>
        <w:ind w:left="2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FC829A">
      <w:start w:val="1"/>
      <w:numFmt w:val="bullet"/>
      <w:lvlText w:val="-"/>
      <w:lvlJc w:val="left"/>
      <w:pPr>
        <w:ind w:left="8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06FC96">
      <w:start w:val="1"/>
      <w:numFmt w:val="bullet"/>
      <w:lvlText w:val="-"/>
      <w:lvlJc w:val="left"/>
      <w:pPr>
        <w:ind w:left="14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283D4">
      <w:start w:val="1"/>
      <w:numFmt w:val="bullet"/>
      <w:lvlText w:val="-"/>
      <w:lvlJc w:val="left"/>
      <w:pPr>
        <w:ind w:left="20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844F6">
      <w:start w:val="1"/>
      <w:numFmt w:val="bullet"/>
      <w:lvlText w:val="-"/>
      <w:lvlJc w:val="left"/>
      <w:pPr>
        <w:ind w:left="26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E0CD7E">
      <w:start w:val="1"/>
      <w:numFmt w:val="bullet"/>
      <w:lvlText w:val="-"/>
      <w:lvlJc w:val="left"/>
      <w:pPr>
        <w:ind w:left="32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A970C">
      <w:start w:val="1"/>
      <w:numFmt w:val="bullet"/>
      <w:lvlText w:val="-"/>
      <w:lvlJc w:val="left"/>
      <w:pPr>
        <w:ind w:left="38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FEEB16">
      <w:start w:val="1"/>
      <w:numFmt w:val="bullet"/>
      <w:lvlText w:val="-"/>
      <w:lvlJc w:val="left"/>
      <w:pPr>
        <w:ind w:left="44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48B7E">
      <w:start w:val="1"/>
      <w:numFmt w:val="bullet"/>
      <w:lvlText w:val="-"/>
      <w:lvlJc w:val="left"/>
      <w:pPr>
        <w:ind w:left="50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2BE0F9F"/>
    <w:multiLevelType w:val="hybridMultilevel"/>
    <w:tmpl w:val="10FCDAC0"/>
    <w:lvl w:ilvl="0" w:tplc="9AF8CB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8882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27B1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0AB5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9257B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C827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F276A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0EB8E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0EE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1C8513B"/>
    <w:multiLevelType w:val="hybridMultilevel"/>
    <w:tmpl w:val="14CC453A"/>
    <w:lvl w:ilvl="0" w:tplc="486489F2">
      <w:start w:val="1"/>
      <w:numFmt w:val="bullet"/>
      <w:lvlText w:val="-"/>
      <w:lvlJc w:val="left"/>
      <w:pPr>
        <w:ind w:left="2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05820">
      <w:start w:val="1"/>
      <w:numFmt w:val="bullet"/>
      <w:lvlText w:val="-"/>
      <w:lvlJc w:val="left"/>
      <w:pPr>
        <w:ind w:left="8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42D4A">
      <w:start w:val="1"/>
      <w:numFmt w:val="bullet"/>
      <w:lvlText w:val="-"/>
      <w:lvlJc w:val="left"/>
      <w:pPr>
        <w:ind w:left="14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CEE48">
      <w:start w:val="1"/>
      <w:numFmt w:val="bullet"/>
      <w:lvlText w:val="-"/>
      <w:lvlJc w:val="left"/>
      <w:pPr>
        <w:ind w:left="20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0A95E">
      <w:start w:val="1"/>
      <w:numFmt w:val="bullet"/>
      <w:lvlText w:val="-"/>
      <w:lvlJc w:val="left"/>
      <w:pPr>
        <w:ind w:left="26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0012E">
      <w:start w:val="1"/>
      <w:numFmt w:val="bullet"/>
      <w:lvlText w:val="-"/>
      <w:lvlJc w:val="left"/>
      <w:pPr>
        <w:ind w:left="32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54E0A8">
      <w:start w:val="1"/>
      <w:numFmt w:val="bullet"/>
      <w:lvlText w:val="-"/>
      <w:lvlJc w:val="left"/>
      <w:pPr>
        <w:ind w:left="38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6F6C6">
      <w:start w:val="1"/>
      <w:numFmt w:val="bullet"/>
      <w:lvlText w:val="-"/>
      <w:lvlJc w:val="left"/>
      <w:pPr>
        <w:ind w:left="44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B0E60C">
      <w:start w:val="1"/>
      <w:numFmt w:val="bullet"/>
      <w:lvlText w:val="-"/>
      <w:lvlJc w:val="left"/>
      <w:pPr>
        <w:ind w:left="504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7524ECF"/>
    <w:multiLevelType w:val="hybridMultilevel"/>
    <w:tmpl w:val="3C88AC02"/>
    <w:lvl w:ilvl="0" w:tplc="42CA99B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84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E0F8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CCED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0E12D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C62E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C8E2C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8382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6415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3BC"/>
    <w:rsid w:val="003C3F94"/>
    <w:rsid w:val="0086306F"/>
    <w:rsid w:val="008C1C11"/>
    <w:rsid w:val="00CC3E08"/>
    <w:rsid w:val="00E71889"/>
    <w:rsid w:val="00F6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3B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1">
    <w:name w:val="heading 1"/>
    <w:next w:val="a"/>
    <w:rsid w:val="00F603BC"/>
    <w:pPr>
      <w:keepNext/>
      <w:keepLines/>
      <w:suppressAutoHyphens/>
      <w:spacing w:after="240"/>
      <w:outlineLvl w:val="0"/>
    </w:pPr>
    <w:rPr>
      <w:rFonts w:ascii="Bodoni MT" w:eastAsia="Bodoni MT" w:hAnsi="Bodoni MT" w:cs="Bodoni MT"/>
      <w:b/>
      <w:bCs/>
      <w:color w:val="2A2A86"/>
      <w:spacing w:val="-2"/>
      <w:sz w:val="28"/>
      <w:szCs w:val="28"/>
      <w:u w:color="2A2A8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3BC"/>
    <w:rPr>
      <w:u w:val="single"/>
    </w:rPr>
  </w:style>
  <w:style w:type="table" w:customStyle="1" w:styleId="TableNormal">
    <w:name w:val="Table Normal"/>
    <w:rsid w:val="00F60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F603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F603BC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C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C11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694</Words>
  <Characters>3960</Characters>
  <Application>Microsoft Office Word</Application>
  <DocSecurity>0</DocSecurity>
  <Lines>33</Lines>
  <Paragraphs>9</Paragraphs>
  <ScaleCrop>false</ScaleCrop>
  <Company>Home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2019-05-15T06:48:00Z</dcterms:created>
  <dcterms:modified xsi:type="dcterms:W3CDTF">2019-05-15T08:03:00Z</dcterms:modified>
</cp:coreProperties>
</file>