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80F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256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32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80F5D" w:rsidRDefault="00580F5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256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32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80F5D" w:rsidRDefault="00580F5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256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32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80F5D" w:rsidRDefault="00580F5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256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32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256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32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r>
              <w:t>Наказ / розпорядчий документ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256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32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0F5D" w:rsidRDefault="00430DF1">
            <w:r>
              <w:t>Управління регіон.розвитку і житлово-комун.господ-тва Борівського, Оленівського, Мотовилівського, Мотовилівськослобідського СО ФМР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256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32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256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32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580F5D">
            <w:pPr>
              <w:ind w:left="60"/>
              <w:jc w:val="center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256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32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256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32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r>
              <w:t>02.01.2023 р. № Наказ №06 фінансового управління ВК ФМР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256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32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80F5D" w:rsidRDefault="00580F5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2023 рік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0F5D" w:rsidRDefault="00430DF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0F5D" w:rsidRDefault="00430DF1">
            <w:pPr>
              <w:jc w:val="center"/>
            </w:pPr>
            <w:r>
              <w:rPr>
                <w:b/>
              </w:rPr>
              <w:t>1200000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0F5D" w:rsidRDefault="00430DF1">
            <w:r>
              <w:rPr>
                <w:sz w:val="18"/>
              </w:rPr>
              <w:t>Управління регіон.розвитку і житлово-комун.господ-тва Борівського, Оленівського, Мотовилівського, Мотовилівськослобідського СО ФМР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0F5D" w:rsidRDefault="00430DF1">
            <w:pPr>
              <w:jc w:val="center"/>
            </w:pPr>
            <w:r>
              <w:t>44049375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80F5D" w:rsidRDefault="00430DF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80F5D" w:rsidRDefault="00430DF1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80F5D" w:rsidRDefault="00430DF1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0F5D" w:rsidRDefault="00430DF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0F5D" w:rsidRDefault="00430DF1">
            <w:pPr>
              <w:jc w:val="center"/>
            </w:pPr>
            <w:r>
              <w:rPr>
                <w:b/>
              </w:rPr>
              <w:t>1210000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0F5D" w:rsidRDefault="00430DF1">
            <w:r>
              <w:rPr>
                <w:sz w:val="18"/>
              </w:rPr>
              <w:t>Управління регіон.розвитку і житлово-комун.господ-тва Борівського, Оленівського, Мотовилівського, Мотовилівськослобідського СО ФМР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0F5D" w:rsidRDefault="00430DF1">
            <w:pPr>
              <w:jc w:val="center"/>
            </w:pPr>
            <w:r>
              <w:t>44049375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80F5D" w:rsidRDefault="00430DF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80F5D" w:rsidRDefault="00430DF1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80F5D" w:rsidRDefault="00430DF1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0F5D" w:rsidRDefault="00430DF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0F5D" w:rsidRDefault="00430DF1">
            <w:pPr>
              <w:jc w:val="center"/>
            </w:pPr>
            <w:r>
              <w:rPr>
                <w:b/>
              </w:rPr>
              <w:t>1217670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0F5D" w:rsidRDefault="00430DF1">
            <w:pPr>
              <w:jc w:val="center"/>
            </w:pPr>
            <w:r>
              <w:t>7670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0F5D" w:rsidRDefault="00430DF1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left="60"/>
              <w:jc w:val="both"/>
            </w:pPr>
            <w:r>
              <w:t>Внески до статутного капіталу суб’єктів господарювання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0F5D" w:rsidRDefault="00430DF1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pPr>
              <w:jc w:val="center"/>
            </w:pPr>
            <w:r>
              <w:rPr>
                <w:sz w:val="12"/>
              </w:rPr>
              <w:t>(найменування бюджетної програми зг</w:t>
            </w:r>
            <w:r>
              <w:rPr>
                <w:sz w:val="12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80F5D" w:rsidRDefault="00430DF1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700000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700000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r>
              <w:t>Конституція України від 28.06.1996 року (зі змінами), Бюджетний кодекс України від 08.07.2010 року (зі змінами), закон України "Про державний бюджет України на 2022 рік", Закон україни "Про місцеве самоврядув</w:t>
            </w:r>
            <w:r>
              <w:t>ання в Україні", постанова Кабінету Міністрів України від 09.03.2006 року №268 "Про упорядкування структури та умов оплати праці працівників апарату органів виконавчої влади, органів прокуратури, судів та інших органів" (зі змінами), наказ Міністерства пра</w:t>
            </w:r>
            <w:r>
              <w:t>ці України від 02.10.1996 року №77 "Про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органів" (зі змінами), наказ Міністерства фінан</w:t>
            </w:r>
            <w:r>
              <w:t>сів України від 26.08.2014 року №836 "Про деякі питання запровадження програмно-цільового методу складання та виконання місцевих бюджетів" Рішення сесії ФМР № 161-XXIІI-VIII від 20.12.2022р.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r>
              <w:rPr>
                <w:sz w:val="24"/>
              </w:rPr>
              <w:t>6. Цілі державної політики, на досягнення яких спрямована реал</w:t>
            </w:r>
            <w:r>
              <w:rPr>
                <w:sz w:val="24"/>
              </w:rPr>
              <w:t>ізація бюджетної програми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left="60"/>
            </w:pPr>
            <w:r>
              <w:t>Підтримка комунального підприємства для забезпчення здійснення статутної діяльності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0F5D" w:rsidRDefault="00580F5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5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80F5D" w:rsidRDefault="00430DF1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r>
              <w:t>Внески до статутного капіталу суб’єктів господарювання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5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F5D" w:rsidRDefault="00430DF1">
            <w:pPr>
              <w:ind w:left="60"/>
            </w:pPr>
            <w:r>
              <w:t>Придбання за рахунок лізингу автотехніки для Борівського ККП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5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left="60"/>
            </w:pPr>
            <w:r>
              <w:t xml:space="preserve">Внески до статутного капіталу суб"єктів господарювання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700 000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700 000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rPr>
                <w:b/>
              </w:rPr>
              <w:t>700 000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rPr>
                <w:b/>
              </w:rPr>
              <w:t>700 000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5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left="60"/>
            </w:pPr>
            <w:r>
              <w:t>"Програма фінансової підтримки комунальних підприємств та закладів ФМР на 2021-2025 роки" № 5-IV-VIII від 23.12.2020р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700 000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700 000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580F5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rPr>
                <w:b/>
              </w:rPr>
              <w:t>700 000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rPr>
                <w:b/>
              </w:rPr>
              <w:t>700 000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F5D" w:rsidRDefault="00430DF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F5D" w:rsidRDefault="00430DF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left="60"/>
            </w:pPr>
            <w:r>
              <w:t>сума капітального трансферту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580F5D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700 000,00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700 000,00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F5D" w:rsidRDefault="00430DF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F5D" w:rsidRDefault="00430DF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left="60"/>
            </w:pPr>
            <w:r>
              <w:t>Лізинг на придбання автотранспорту для Комбінату комунальних підприємств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580F5D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F5D" w:rsidRDefault="00430DF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F5D" w:rsidRDefault="00430DF1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left="60"/>
            </w:pPr>
            <w:r>
              <w:t>доцільність придбання автотехніки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580F5D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F5D" w:rsidRDefault="00430DF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80F5D" w:rsidRDefault="00430DF1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580F5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pPr>
              <w:ind w:left="60"/>
            </w:pPr>
            <w:r>
              <w:t>відсоток до суми придбання автотранспорту за рахунок лізингу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580F5D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80F5D" w:rsidRDefault="00580F5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80F5D" w:rsidRDefault="00580F5D">
            <w:pPr>
              <w:pStyle w:val="EMPTYCELLSTYLE"/>
            </w:pP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80F5D" w:rsidRDefault="00580F5D">
            <w:pPr>
              <w:pStyle w:val="EMPTYCELLSTYLE"/>
            </w:pP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pPr>
              <w:ind w:right="60"/>
            </w:pPr>
            <w:r>
              <w:rPr>
                <w:b/>
              </w:rPr>
              <w:t xml:space="preserve">Начальник управління </w:t>
            </w: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r>
              <w:t>Світлана БЕЛЬКО</w:t>
            </w: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80F5D" w:rsidRDefault="00580F5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r>
              <w:t>Фінансове управління виконавчого комітету Фастівскої міської ради</w:t>
            </w: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r>
              <w:t>Начальник фінуправління ВК ФМР</w:t>
            </w: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F5D" w:rsidRDefault="00430DF1">
            <w:r>
              <w:t>Людмила Цедзінська</w:t>
            </w: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580F5D" w:rsidRDefault="00580F5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F5D" w:rsidRDefault="00430DF1">
            <w:r>
              <w:rPr>
                <w:b/>
              </w:rPr>
              <w:t>20.01.2023 р.</w:t>
            </w: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  <w:tr w:rsidR="00580F5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F5D" w:rsidRDefault="00430DF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80F5D" w:rsidRDefault="00580F5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580F5D" w:rsidRDefault="00580F5D">
            <w:pPr>
              <w:pStyle w:val="EMPTYCELLSTYLE"/>
            </w:pPr>
          </w:p>
        </w:tc>
        <w:tc>
          <w:tcPr>
            <w:tcW w:w="1800" w:type="dxa"/>
          </w:tcPr>
          <w:p w:rsidR="00580F5D" w:rsidRDefault="00580F5D">
            <w:pPr>
              <w:pStyle w:val="EMPTYCELLSTYLE"/>
            </w:pPr>
          </w:p>
        </w:tc>
        <w:tc>
          <w:tcPr>
            <w:tcW w:w="400" w:type="dxa"/>
          </w:tcPr>
          <w:p w:rsidR="00580F5D" w:rsidRDefault="00580F5D">
            <w:pPr>
              <w:pStyle w:val="EMPTYCELLSTYLE"/>
            </w:pPr>
          </w:p>
        </w:tc>
      </w:tr>
    </w:tbl>
    <w:p w:rsidR="00000000" w:rsidRDefault="00430DF1"/>
    <w:sectPr w:rsidR="00000000" w:rsidSect="00580F5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hyphenationZone w:val="425"/>
  <w:characterSpacingControl w:val="doNotCompress"/>
  <w:compat/>
  <w:rsids>
    <w:rsidRoot w:val="00580F5D"/>
    <w:rsid w:val="00430DF1"/>
    <w:rsid w:val="0058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580F5D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3045</Words>
  <Characters>1737</Characters>
  <Application>Microsoft Office Word</Application>
  <DocSecurity>0</DocSecurity>
  <Lines>14</Lines>
  <Paragraphs>9</Paragraphs>
  <ScaleCrop>false</ScaleCrop>
  <Company>Grizli777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Bigboss</cp:lastModifiedBy>
  <cp:revision>2</cp:revision>
  <dcterms:created xsi:type="dcterms:W3CDTF">2023-12-29T09:56:00Z</dcterms:created>
  <dcterms:modified xsi:type="dcterms:W3CDTF">2023-12-29T09:56:00Z</dcterms:modified>
</cp:coreProperties>
</file>