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874A1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256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32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48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74A15" w:rsidRDefault="00874A1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256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32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48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74A15" w:rsidRDefault="00874A1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A15" w:rsidRDefault="006B72E0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256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32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48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74A15" w:rsidRDefault="00874A1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A15" w:rsidRDefault="006B72E0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256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32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48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A15" w:rsidRDefault="006B72E0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256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32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48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A15" w:rsidRDefault="006B72E0">
            <w:r>
              <w:t>Наказ / розпорядчий документ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256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32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48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74A15" w:rsidRDefault="006B72E0">
            <w:r>
              <w:t>Управління регіон.розвитку і житлово-комун.господ-тва Борівського, Оленівського, Мотовилівського, Мотовилівськослобідського СО ФМР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256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32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48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256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32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48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  <w:jc w:val="center"/>
            </w:pP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256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32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48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256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32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48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r>
              <w:t>25.12.2023 р. № Наказ №51 фінансового управління ВК ФМР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256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32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48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74A15" w:rsidRDefault="00874A1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A15" w:rsidRDefault="006B72E0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2023 рік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74A15" w:rsidRDefault="006B72E0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74A15" w:rsidRDefault="006B72E0">
            <w:pPr>
              <w:jc w:val="center"/>
            </w:pPr>
            <w:r>
              <w:rPr>
                <w:b/>
              </w:rPr>
              <w:t>1200000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74A15" w:rsidRDefault="006B72E0">
            <w:r>
              <w:rPr>
                <w:sz w:val="18"/>
              </w:rPr>
              <w:t>Управління регіон.розвитку і житлово-комун.господ-тва Борівського, Оленівського, Мотовилівського, Мотовилівськослобідського СО ФМР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74A15" w:rsidRDefault="006B72E0">
            <w:pPr>
              <w:jc w:val="center"/>
            </w:pPr>
            <w:r>
              <w:t>44049375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74A15" w:rsidRDefault="006B72E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74A15" w:rsidRDefault="006B72E0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874A15" w:rsidRDefault="006B72E0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74A15" w:rsidRDefault="006B72E0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74A15" w:rsidRDefault="006B72E0">
            <w:pPr>
              <w:jc w:val="center"/>
            </w:pPr>
            <w:r>
              <w:rPr>
                <w:b/>
              </w:rPr>
              <w:t>1210000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74A15" w:rsidRDefault="006B72E0">
            <w:r>
              <w:rPr>
                <w:sz w:val="18"/>
              </w:rPr>
              <w:t>Управління регіон.розвитку і житлово-комун.господ-тва Борівського, Оленівського, Мотовилівського, Мотовилівськослобідського СО ФМР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74A15" w:rsidRDefault="006B72E0">
            <w:pPr>
              <w:jc w:val="center"/>
            </w:pPr>
            <w:r>
              <w:t>44049375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74A15" w:rsidRDefault="006B72E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74A15" w:rsidRDefault="006B72E0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874A15" w:rsidRDefault="006B72E0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74A15" w:rsidRDefault="006B72E0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74A15" w:rsidRDefault="006B72E0">
            <w:pPr>
              <w:jc w:val="center"/>
            </w:pPr>
            <w:r>
              <w:rPr>
                <w:b/>
              </w:rPr>
              <w:t>1216030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74A15" w:rsidRDefault="006B72E0">
            <w:pPr>
              <w:jc w:val="center"/>
            </w:pPr>
            <w:r>
              <w:t>6030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74A15" w:rsidRDefault="006B72E0">
            <w:pPr>
              <w:jc w:val="center"/>
            </w:pPr>
            <w:r>
              <w:t xml:space="preserve">  0620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  <w:jc w:val="both"/>
            </w:pPr>
            <w:r>
              <w:t>Організація благоустрою населених пунктів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74A15" w:rsidRDefault="006B72E0">
            <w:pPr>
              <w:jc w:val="center"/>
            </w:pPr>
            <w:r>
              <w:t>1056600000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A15" w:rsidRDefault="006B72E0">
            <w:pPr>
              <w:jc w:val="center"/>
            </w:pPr>
            <w:r>
              <w:rPr>
                <w:sz w:val="12"/>
              </w:rPr>
              <w:t>(найменування бюджетної програми зг</w:t>
            </w:r>
            <w:r>
              <w:rPr>
                <w:sz w:val="12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A15" w:rsidRDefault="006B72E0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74A15" w:rsidRDefault="006B72E0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4269900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4269900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A15" w:rsidRDefault="006B72E0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r>
              <w:t>Конституція України від 28.06.1996 року (зі змінами), Бюджетний кодекс України від 08.07.2010 року (зі змінами), закон України "Про державний бюджет України на 2022 рік", Закон україни "</w:t>
            </w:r>
            <w:r>
              <w:t xml:space="preserve">Про місцеве самоврядування в Україні", постанова Кабінету Міністрів України від 09.03.2006 року №268 "Про упорядкування структури та умов оплати праці працівників апарату органів виконавчої влади, органів прокуратури, судів та інших органів" (зі змінами), </w:t>
            </w:r>
            <w:r>
              <w:t>наказ Міністерства праці України від 02.10.1996 року №77 "Про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органів" (зі змінами), на</w:t>
            </w:r>
            <w:r>
              <w:t>каз Міністерства фінансів України від 26.08.2014 року №836 "Про деякі питання запровадження програмно-цільового методу складання та виконання місцевих бюджетів".Рішення сесії ФМР №13-XVI-VIII від 21.12.2021р.,Рішення сесії ФМР № 92-XXIІ-VIII від 07.12.2022</w:t>
            </w:r>
            <w:r>
              <w:t>р.Рішення сесії ФМР № 161-XXIІI-VIII від 20.12.2022р.Рішення сесії ФМР № 215-XLI-VIII від 08.05.2023р..Рішення сесії ФМР № 312-XLV-VIII від 25.07.2023р.Рішення сесії ФМР № 586-XLV-VIII від 22.12.2023р.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r>
              <w:rPr>
                <w:sz w:val="24"/>
              </w:rPr>
              <w:t>6. Цілі державної політики, на досягнення яких спря</w:t>
            </w:r>
            <w:r>
              <w:rPr>
                <w:sz w:val="24"/>
              </w:rPr>
              <w:t>мована реалізація бюджетної програми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>Організація благоустрою населених пунктів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74A15" w:rsidRDefault="00874A1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58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4A15" w:rsidRDefault="006B72E0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r>
              <w:t>Підвищення рівня благоустрою старостинських округів Фастівської територіальної громади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58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74A15" w:rsidRDefault="006B72E0">
            <w:pPr>
              <w:ind w:left="60"/>
            </w:pPr>
            <w:r>
              <w:t>Організація благоустрою населених пунктів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58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A15" w:rsidRDefault="006B72E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>Організація благоустрою населених пунктів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4 269 900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4 269 900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rPr>
                <w:b/>
              </w:rPr>
              <w:t>4 269 900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rPr>
                <w:b/>
              </w:rPr>
              <w:t>4 269 900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58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A15" w:rsidRDefault="006B72E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>"Про затвердження Програми благоустрою населених пунктів ФМТГ на 2021-2025  №11-IV-VIII від 23.12.2020 року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1 019 900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1 019 900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>"</w:t>
            </w:r>
            <w:r>
              <w:t xml:space="preserve">Програма проведення будівництва , ремонту та утримання дорожнього покриття вулиць та тротоарів у населених пунктах ФМТГ на 2021р.-2025 роки" №10-IV-VIII від 23.12.2020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3 250 000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3 250 000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rPr>
                <w:b/>
              </w:rPr>
              <w:t>4 269 900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rPr>
                <w:b/>
              </w:rPr>
              <w:t>4 269 900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74A15" w:rsidRDefault="006B72E0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74A15" w:rsidRDefault="006B72E0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>Видатки на оплату електроенергії по зовнішньому освітленню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700 000,00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700 000,00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>затрати на централізований вивіз сміття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50 000,00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50 000,00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>Витрати на утримання об"єктів вуличного освітлення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100 000,00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100 000,00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 xml:space="preserve">Придбання господ.товарів (фарба, кабеля вул.освітлення, труби)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100 000,00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100 000,00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>Громадський бюджет Фастова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>Громадський бюджет Фастова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 xml:space="preserve">Послуги автоперевезення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50 000,00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50 000,00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 xml:space="preserve">Навантаження сміття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50 000,00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50 000,00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58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74A15" w:rsidRDefault="00874A1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2380" w:type="dxa"/>
            <w:gridSpan w:val="3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 xml:space="preserve">затрати на поточний ремонт дорожнього покриття вулиць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3 250 000,00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3 250 000,00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74A15" w:rsidRDefault="006B72E0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74A15" w:rsidRDefault="006B72E0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>Обсяг споживання електроенергії на зовнішнє освітлення в рік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кВт.год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190,00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190,00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>Обсяг побутових відходів , який підлягає вивезенню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куб.м.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720,00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720,00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>Кількість об"єктів вуличного освітлення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300,00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 xml:space="preserve"> Матеріали, предмети, інвентар для благоустрою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70,00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>Громадський бюджет Фастова(тротуар з бруківки -100м, лавочки, урни для сміття)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>Громадський бюджет Фастова  (придбання зелених насаджень)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>Кількість автоперевезень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30,00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>Кількість годин по навантаженню сміття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годин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 xml:space="preserve">площа ремонту асфальтобетонного покриття, висипки, грейдування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кв. м.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4 500,00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4 500,00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74A15" w:rsidRDefault="006B72E0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74A15" w:rsidRDefault="006B72E0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>Витрати на споживання електроенергії за 1кВт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6,00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 xml:space="preserve">середня кількість витрат на вивезення побутових відходів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90,00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>Витрати на утримкння 1 об"єкта вуличного освітлення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333,00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333,00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>термін за який буде придбано господаські товари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місяців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12,00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12,00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>Термін за який буде втілений даний проект (Громадський бюджет Фастова)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місяців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>Термін за який буде втілений даний проект (Громадський бюджет Фастова)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місяців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 xml:space="preserve">Термін за який буде надано послуги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місяців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12,00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12,00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 xml:space="preserve">термін за який буде надано дані послуги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місяців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12,00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12,00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>середня кількість поточних ремонтів вуличних доріг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12,00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12,00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74A15" w:rsidRDefault="006B72E0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74A15" w:rsidRDefault="006B72E0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>Кількість використаних коштів на оплату електроенергії зовнішнього освітлення у плановому періоді відповідно до фактичного показника попереднього року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>темп зростання середньої вартості по наданню послуг з вивезення побутових відходів  порівняно з попереднім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>темп зниження закупівлі ліхтарів зовнішнього освітлення   порівняно з попереднім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5,00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>динаміка кількості збільшення придбаних матеріалів порівняно з попередніми роками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10,00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>динаміка кількості реалізованих проектів (Громадський бюджет Фастова) порівняно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>динаміка кількості реалізованих проектів (Громадський бюджет Фастова) порівняно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>Динаміка збільшення автоперевезень порівняно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10,00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>динаміка збільшення послуг по навантеженню сміття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40,00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2380" w:type="dxa"/>
            <w:gridSpan w:val="3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74A15" w:rsidRDefault="00874A1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48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pPr>
              <w:ind w:left="60"/>
            </w:pPr>
            <w:r>
              <w:t xml:space="preserve">темп зростання середньої вартості по поточних ремонтах вулиць  порівняно з попереднім роком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874A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pPr>
              <w:ind w:right="60"/>
              <w:jc w:val="right"/>
            </w:pPr>
            <w:r>
              <w:t>30,00</w:t>
            </w: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48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48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A15" w:rsidRDefault="006B72E0">
            <w:pPr>
              <w:ind w:right="60"/>
            </w:pPr>
            <w:r>
              <w:rPr>
                <w:b/>
              </w:rPr>
              <w:t xml:space="preserve">Начальник управління </w:t>
            </w:r>
          </w:p>
        </w:tc>
        <w:tc>
          <w:tcPr>
            <w:tcW w:w="148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r>
              <w:t>Світлана БЕЛЬКО</w:t>
            </w: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A15" w:rsidRDefault="006B72E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A15" w:rsidRDefault="006B72E0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A15" w:rsidRDefault="006B72E0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r>
              <w:t xml:space="preserve">Фінансове управління виконавчого комітету Фастівскої міської ради </w:t>
            </w:r>
          </w:p>
        </w:tc>
        <w:tc>
          <w:tcPr>
            <w:tcW w:w="148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A15" w:rsidRDefault="006B72E0">
            <w:r>
              <w:t>Начальник фінуправління ВК ФМР</w:t>
            </w:r>
          </w:p>
        </w:tc>
        <w:tc>
          <w:tcPr>
            <w:tcW w:w="148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A15" w:rsidRDefault="006B72E0">
            <w:r>
              <w:t>Людмила Цедзінська</w:t>
            </w: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A15" w:rsidRDefault="006B72E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A15" w:rsidRDefault="006B72E0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A15" w:rsidRDefault="006B72E0">
            <w:r>
              <w:rPr>
                <w:b/>
              </w:rPr>
              <w:t>29.12.2023 р.</w:t>
            </w:r>
          </w:p>
        </w:tc>
        <w:tc>
          <w:tcPr>
            <w:tcW w:w="148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  <w:tr w:rsidR="00874A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A15" w:rsidRDefault="006B72E0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1800" w:type="dxa"/>
          </w:tcPr>
          <w:p w:rsidR="00874A15" w:rsidRDefault="00874A15">
            <w:pPr>
              <w:pStyle w:val="EMPTYCELLSTYLE"/>
            </w:pPr>
          </w:p>
        </w:tc>
        <w:tc>
          <w:tcPr>
            <w:tcW w:w="400" w:type="dxa"/>
          </w:tcPr>
          <w:p w:rsidR="00874A15" w:rsidRDefault="00874A15">
            <w:pPr>
              <w:pStyle w:val="EMPTYCELLSTYLE"/>
            </w:pPr>
          </w:p>
        </w:tc>
      </w:tr>
    </w:tbl>
    <w:p w:rsidR="00000000" w:rsidRDefault="006B72E0"/>
    <w:sectPr w:rsidR="00000000" w:rsidSect="00874A15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00"/>
  <w:hyphenationZone w:val="425"/>
  <w:characterSpacingControl w:val="doNotCompress"/>
  <w:compat/>
  <w:rsids>
    <w:rsidRoot w:val="00874A15"/>
    <w:rsid w:val="006B72E0"/>
    <w:rsid w:val="0087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874A15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5168</Words>
  <Characters>2947</Characters>
  <Application>Microsoft Office Word</Application>
  <DocSecurity>0</DocSecurity>
  <Lines>24</Lines>
  <Paragraphs>16</Paragraphs>
  <ScaleCrop>false</ScaleCrop>
  <Company>Grizli777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Bigboss</cp:lastModifiedBy>
  <cp:revision>2</cp:revision>
  <dcterms:created xsi:type="dcterms:W3CDTF">2023-12-29T09:55:00Z</dcterms:created>
  <dcterms:modified xsi:type="dcterms:W3CDTF">2023-12-29T09:55:00Z</dcterms:modified>
</cp:coreProperties>
</file>