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B" w:rsidRPr="00594919" w:rsidRDefault="001F6799" w:rsidP="00B42ED4">
      <w:pPr>
        <w:jc w:val="center"/>
        <w:rPr>
          <w:b/>
          <w:sz w:val="28"/>
          <w:szCs w:val="28"/>
          <w:lang w:val="uk-UA"/>
        </w:rPr>
      </w:pPr>
      <w:r w:rsidRPr="00594919">
        <w:rPr>
          <w:b/>
          <w:sz w:val="28"/>
          <w:szCs w:val="28"/>
          <w:lang w:val="uk-UA"/>
        </w:rPr>
        <w:t>П</w:t>
      </w:r>
      <w:r w:rsidR="00352FBB" w:rsidRPr="00594919">
        <w:rPr>
          <w:b/>
          <w:sz w:val="28"/>
          <w:szCs w:val="28"/>
          <w:lang w:val="uk-UA"/>
        </w:rPr>
        <w:t>ояснювальн</w:t>
      </w:r>
      <w:r w:rsidRPr="00594919">
        <w:rPr>
          <w:b/>
          <w:sz w:val="28"/>
          <w:szCs w:val="28"/>
          <w:lang w:val="uk-UA"/>
        </w:rPr>
        <w:t>а</w:t>
      </w:r>
      <w:r w:rsidR="00352FBB" w:rsidRPr="00594919">
        <w:rPr>
          <w:b/>
          <w:sz w:val="28"/>
          <w:szCs w:val="28"/>
          <w:lang w:val="uk-UA"/>
        </w:rPr>
        <w:t xml:space="preserve"> записк</w:t>
      </w:r>
      <w:r w:rsidRPr="00594919">
        <w:rPr>
          <w:b/>
          <w:sz w:val="28"/>
          <w:szCs w:val="28"/>
          <w:lang w:val="uk-UA"/>
        </w:rPr>
        <w:t>а</w:t>
      </w:r>
      <w:r w:rsidR="00B42ED4">
        <w:rPr>
          <w:b/>
          <w:sz w:val="28"/>
          <w:szCs w:val="28"/>
          <w:lang w:val="uk-UA"/>
        </w:rPr>
        <w:t xml:space="preserve"> </w:t>
      </w:r>
      <w:r w:rsidR="00352FBB" w:rsidRPr="00594919">
        <w:rPr>
          <w:b/>
          <w:sz w:val="28"/>
          <w:szCs w:val="28"/>
          <w:lang w:val="uk-UA"/>
        </w:rPr>
        <w:t>до фінансового плану</w:t>
      </w:r>
      <w:r w:rsidR="005649D6" w:rsidRPr="00594919">
        <w:rPr>
          <w:b/>
          <w:sz w:val="28"/>
          <w:szCs w:val="28"/>
          <w:lang w:val="uk-UA"/>
        </w:rPr>
        <w:t xml:space="preserve"> </w:t>
      </w:r>
      <w:r w:rsidR="008F6768" w:rsidRPr="00594919">
        <w:rPr>
          <w:b/>
          <w:sz w:val="28"/>
          <w:szCs w:val="28"/>
          <w:lang w:val="uk-UA"/>
        </w:rPr>
        <w:t>н</w:t>
      </w:r>
      <w:r w:rsidR="00B42ED4">
        <w:rPr>
          <w:b/>
          <w:sz w:val="28"/>
          <w:szCs w:val="28"/>
          <w:lang w:val="uk-UA"/>
        </w:rPr>
        <w:t>а 202</w:t>
      </w:r>
      <w:r w:rsidR="001A4DE5">
        <w:rPr>
          <w:b/>
          <w:sz w:val="28"/>
          <w:szCs w:val="28"/>
          <w:lang w:val="uk-UA"/>
        </w:rPr>
        <w:t>1</w:t>
      </w:r>
      <w:r w:rsidR="005649D6" w:rsidRPr="00594919">
        <w:rPr>
          <w:b/>
          <w:sz w:val="28"/>
          <w:szCs w:val="28"/>
          <w:lang w:val="uk-UA"/>
        </w:rPr>
        <w:t xml:space="preserve"> рік</w:t>
      </w:r>
      <w:r w:rsidR="00352FBB" w:rsidRPr="00594919">
        <w:rPr>
          <w:b/>
          <w:sz w:val="28"/>
          <w:szCs w:val="28"/>
          <w:lang w:val="uk-UA"/>
        </w:rPr>
        <w:t xml:space="preserve"> </w:t>
      </w:r>
    </w:p>
    <w:p w:rsidR="00B42ED4" w:rsidRDefault="00B42ED4" w:rsidP="00352FBB">
      <w:pPr>
        <w:ind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Комунального підприємства</w:t>
      </w:r>
    </w:p>
    <w:p w:rsidR="00352FBB" w:rsidRPr="00594919" w:rsidRDefault="00B42ED4" w:rsidP="00352FBB">
      <w:pPr>
        <w:ind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«Фастівський комбінат</w:t>
      </w:r>
      <w:r w:rsidR="00850D72" w:rsidRPr="00594919">
        <w:rPr>
          <w:b/>
          <w:sz w:val="28"/>
          <w:szCs w:val="28"/>
          <w:u w:val="single"/>
          <w:lang w:val="uk-UA"/>
        </w:rPr>
        <w:t xml:space="preserve"> комунальних підприємств</w:t>
      </w:r>
      <w:r>
        <w:rPr>
          <w:b/>
          <w:sz w:val="28"/>
          <w:szCs w:val="28"/>
          <w:u w:val="single"/>
          <w:lang w:val="uk-UA"/>
        </w:rPr>
        <w:t>»</w:t>
      </w:r>
    </w:p>
    <w:p w:rsidR="00E3573B" w:rsidRPr="006B15AC" w:rsidRDefault="00352FBB" w:rsidP="006B15AC">
      <w:pPr>
        <w:ind w:firstLine="540"/>
        <w:jc w:val="center"/>
        <w:rPr>
          <w:sz w:val="28"/>
          <w:szCs w:val="28"/>
          <w:u w:val="single"/>
          <w:lang w:val="uk-UA"/>
        </w:rPr>
      </w:pPr>
      <w:r w:rsidRPr="00594919">
        <w:rPr>
          <w:sz w:val="28"/>
          <w:szCs w:val="28"/>
          <w:lang w:val="uk-UA"/>
        </w:rPr>
        <w:t>(назва підприємства)</w:t>
      </w:r>
      <w:r w:rsidRPr="00594919">
        <w:rPr>
          <w:sz w:val="28"/>
          <w:szCs w:val="28"/>
          <w:lang w:val="uk-UA"/>
        </w:rPr>
        <w:softHyphen/>
      </w:r>
      <w:r w:rsidRPr="00594919">
        <w:rPr>
          <w:sz w:val="28"/>
          <w:szCs w:val="28"/>
          <w:lang w:val="uk-UA"/>
        </w:rPr>
        <w:softHyphen/>
      </w:r>
      <w:r w:rsidRPr="00594919">
        <w:rPr>
          <w:sz w:val="28"/>
          <w:szCs w:val="28"/>
          <w:u w:val="single"/>
          <w:lang w:val="uk-UA"/>
        </w:rPr>
        <w:t xml:space="preserve"> </w:t>
      </w:r>
    </w:p>
    <w:p w:rsidR="00D024CD" w:rsidRDefault="00D024CD" w:rsidP="008D0033">
      <w:pPr>
        <w:ind w:firstLine="540"/>
        <w:jc w:val="both"/>
        <w:rPr>
          <w:b/>
          <w:sz w:val="28"/>
          <w:szCs w:val="28"/>
          <w:lang w:val="uk-UA"/>
        </w:rPr>
      </w:pPr>
    </w:p>
    <w:p w:rsidR="00E3573B" w:rsidRPr="00D024CD" w:rsidRDefault="0055240F" w:rsidP="00D024CD">
      <w:pPr>
        <w:ind w:firstLine="540"/>
        <w:jc w:val="both"/>
        <w:rPr>
          <w:b/>
          <w:sz w:val="28"/>
          <w:szCs w:val="28"/>
          <w:lang w:val="uk-UA"/>
        </w:rPr>
      </w:pPr>
      <w:r w:rsidRPr="00594919">
        <w:rPr>
          <w:b/>
          <w:sz w:val="28"/>
          <w:szCs w:val="28"/>
          <w:lang w:val="uk-UA"/>
        </w:rPr>
        <w:t xml:space="preserve">1. </w:t>
      </w:r>
      <w:r w:rsidR="00BD36C9" w:rsidRPr="00594919">
        <w:rPr>
          <w:b/>
          <w:sz w:val="28"/>
          <w:szCs w:val="28"/>
          <w:lang w:val="uk-UA"/>
        </w:rPr>
        <w:t xml:space="preserve">Інформація щодо </w:t>
      </w:r>
      <w:r w:rsidR="000D27E2" w:rsidRPr="00594919">
        <w:rPr>
          <w:b/>
          <w:sz w:val="28"/>
          <w:szCs w:val="28"/>
          <w:lang w:val="uk-UA"/>
        </w:rPr>
        <w:t xml:space="preserve">діяльності </w:t>
      </w:r>
      <w:r w:rsidR="00E279CF" w:rsidRPr="00594919">
        <w:rPr>
          <w:b/>
          <w:sz w:val="28"/>
          <w:szCs w:val="28"/>
          <w:lang w:val="uk-UA"/>
        </w:rPr>
        <w:t>підприємства</w:t>
      </w:r>
      <w:r w:rsidR="00C100B3" w:rsidRPr="00594919">
        <w:rPr>
          <w:b/>
          <w:sz w:val="28"/>
          <w:szCs w:val="28"/>
          <w:lang w:val="uk-UA"/>
        </w:rPr>
        <w:t>.</w:t>
      </w:r>
    </w:p>
    <w:p w:rsidR="005415AB" w:rsidRDefault="00B42ED4" w:rsidP="004C16A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r w:rsidR="00807705" w:rsidRPr="003F7A03">
        <w:rPr>
          <w:sz w:val="28"/>
          <w:szCs w:val="28"/>
          <w:lang w:val="uk-UA"/>
        </w:rPr>
        <w:t>Фастівський комбінат комунальних підприємств</w:t>
      </w:r>
      <w:r>
        <w:rPr>
          <w:sz w:val="28"/>
          <w:szCs w:val="28"/>
          <w:lang w:val="uk-UA"/>
        </w:rPr>
        <w:t>»</w:t>
      </w:r>
      <w:r w:rsidR="00807705" w:rsidRPr="003F7A03">
        <w:rPr>
          <w:sz w:val="28"/>
          <w:szCs w:val="28"/>
          <w:lang w:val="uk-UA"/>
        </w:rPr>
        <w:t xml:space="preserve"> (скорочена назва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r w:rsidR="00807705" w:rsidRPr="003F7A03">
        <w:rPr>
          <w:sz w:val="28"/>
          <w:szCs w:val="28"/>
          <w:lang w:val="uk-UA"/>
        </w:rPr>
        <w:t xml:space="preserve">Фастівський </w:t>
      </w:r>
      <w:proofErr w:type="spellStart"/>
      <w:r w:rsidR="00807705" w:rsidRPr="003F7A03">
        <w:rPr>
          <w:sz w:val="28"/>
          <w:szCs w:val="28"/>
          <w:lang w:val="uk-UA"/>
        </w:rPr>
        <w:t>ККП</w:t>
      </w:r>
      <w:proofErr w:type="spellEnd"/>
      <w:r>
        <w:rPr>
          <w:sz w:val="28"/>
          <w:szCs w:val="28"/>
          <w:lang w:val="uk-UA"/>
        </w:rPr>
        <w:t>»</w:t>
      </w:r>
      <w:r w:rsidR="00807705" w:rsidRPr="003F7A03">
        <w:rPr>
          <w:sz w:val="28"/>
          <w:szCs w:val="28"/>
          <w:lang w:val="uk-UA"/>
        </w:rPr>
        <w:t xml:space="preserve">) є комунальним підприємством, яке діє на основі комунальної власності Фастівської міської ради, засноване в лютому 1955 р. на підставі наказу </w:t>
      </w:r>
      <w:proofErr w:type="spellStart"/>
      <w:r w:rsidR="00807705" w:rsidRPr="003F7A03">
        <w:rPr>
          <w:sz w:val="28"/>
          <w:szCs w:val="28"/>
          <w:lang w:val="uk-UA"/>
        </w:rPr>
        <w:t>Київоблкомунгоспу</w:t>
      </w:r>
      <w:proofErr w:type="spellEnd"/>
      <w:r w:rsidR="00807705" w:rsidRPr="003F7A03">
        <w:rPr>
          <w:sz w:val="28"/>
          <w:szCs w:val="28"/>
          <w:lang w:val="uk-UA"/>
        </w:rPr>
        <w:t xml:space="preserve">. </w:t>
      </w:r>
    </w:p>
    <w:p w:rsidR="00F245EB" w:rsidRDefault="004C16AC" w:rsidP="004C16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01.08.2019 р. підприємство здійснювало</w:t>
      </w:r>
      <w:r w:rsidRPr="003F7A03">
        <w:rPr>
          <w:sz w:val="28"/>
          <w:szCs w:val="28"/>
          <w:lang w:val="uk-UA"/>
        </w:rPr>
        <w:t xml:space="preserve"> свою господарську діяльність відповідно до Статуту, затвердженого рішенням </w:t>
      </w:r>
      <w:r>
        <w:rPr>
          <w:sz w:val="28"/>
          <w:szCs w:val="28"/>
          <w:lang w:val="uk-UA"/>
        </w:rPr>
        <w:t xml:space="preserve">міської ради </w:t>
      </w:r>
      <w:r w:rsidRPr="00F245EB">
        <w:rPr>
          <w:sz w:val="28"/>
          <w:szCs w:val="28"/>
          <w:lang w:val="uk-UA"/>
        </w:rPr>
        <w:t>№ 13-ХХХ</w:t>
      </w:r>
      <w:r w:rsidRPr="00F245EB">
        <w:rPr>
          <w:sz w:val="28"/>
          <w:szCs w:val="28"/>
          <w:lang w:val="en-US"/>
        </w:rPr>
        <w:t>V</w:t>
      </w:r>
      <w:r w:rsidRPr="00F245EB">
        <w:rPr>
          <w:sz w:val="28"/>
          <w:szCs w:val="28"/>
          <w:lang w:val="uk-UA"/>
        </w:rPr>
        <w:t>ІІ–</w:t>
      </w:r>
      <w:r w:rsidRPr="00F245EB">
        <w:rPr>
          <w:sz w:val="28"/>
          <w:szCs w:val="28"/>
          <w:lang w:val="en-US"/>
        </w:rPr>
        <w:t>VII</w:t>
      </w:r>
      <w:r w:rsidRPr="00F245EB">
        <w:rPr>
          <w:sz w:val="28"/>
          <w:szCs w:val="28"/>
          <w:lang w:val="uk-UA"/>
        </w:rPr>
        <w:t xml:space="preserve"> від 0</w:t>
      </w:r>
      <w:r>
        <w:rPr>
          <w:sz w:val="28"/>
          <w:szCs w:val="28"/>
          <w:lang w:val="uk-UA"/>
        </w:rPr>
        <w:t>8.02.18 р. З метою упорядкування видів екон</w:t>
      </w:r>
      <w:r w:rsidR="0025078C">
        <w:rPr>
          <w:sz w:val="28"/>
          <w:szCs w:val="28"/>
          <w:lang w:val="uk-UA"/>
        </w:rPr>
        <w:t xml:space="preserve">омічної діяльності підприємства, в серпні поточного року вирішено </w:t>
      </w:r>
      <w:r w:rsidR="0025078C">
        <w:rPr>
          <w:color w:val="383838"/>
          <w:sz w:val="28"/>
          <w:szCs w:val="28"/>
          <w:shd w:val="clear" w:color="auto" w:fill="FFFFFF"/>
          <w:lang w:val="uk-UA"/>
        </w:rPr>
        <w:t>з</w:t>
      </w:r>
      <w:r w:rsidR="0025078C" w:rsidRPr="0025078C">
        <w:rPr>
          <w:color w:val="383838"/>
          <w:sz w:val="28"/>
          <w:szCs w:val="28"/>
          <w:shd w:val="clear" w:color="auto" w:fill="FFFFFF"/>
          <w:lang w:val="uk-UA"/>
        </w:rPr>
        <w:t>мінити основ</w:t>
      </w:r>
      <w:r w:rsidR="0025078C">
        <w:rPr>
          <w:color w:val="383838"/>
          <w:sz w:val="28"/>
          <w:szCs w:val="28"/>
          <w:shd w:val="clear" w:color="auto" w:fill="FFFFFF"/>
          <w:lang w:val="uk-UA"/>
        </w:rPr>
        <w:t>ний вид економічної діяльності К</w:t>
      </w:r>
      <w:r w:rsidR="0025078C" w:rsidRPr="0025078C">
        <w:rPr>
          <w:color w:val="383838"/>
          <w:sz w:val="28"/>
          <w:szCs w:val="28"/>
          <w:shd w:val="clear" w:color="auto" w:fill="FFFFFF"/>
          <w:lang w:val="uk-UA"/>
        </w:rPr>
        <w:t>омунального підприємства «Фастівський комбінат комунальних підприємств» (код ЄДРПОУ 03346414) КВЕД 38.11 Збирання безпечних відходів, що містяться в Єдиному державному реєстрі юридичних осіб, фізичних осіб-підприємців та громадських формувань на КВЕД 38.21</w:t>
      </w:r>
      <w:r w:rsidR="0025078C" w:rsidRPr="0025078C">
        <w:rPr>
          <w:color w:val="383838"/>
          <w:sz w:val="28"/>
          <w:szCs w:val="28"/>
          <w:shd w:val="clear" w:color="auto" w:fill="FFFFFF"/>
        </w:rPr>
        <w:t> </w:t>
      </w:r>
      <w:r w:rsidR="0025078C" w:rsidRPr="0025078C">
        <w:rPr>
          <w:color w:val="383838"/>
          <w:sz w:val="28"/>
          <w:szCs w:val="28"/>
          <w:shd w:val="clear" w:color="auto" w:fill="FFFFFF"/>
          <w:lang w:val="uk-UA"/>
        </w:rPr>
        <w:t>Оброблення та видалення безпечних відходів</w:t>
      </w:r>
      <w:r w:rsidR="00250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5078C">
        <w:rPr>
          <w:sz w:val="28"/>
          <w:szCs w:val="28"/>
          <w:lang w:val="uk-UA"/>
        </w:rPr>
        <w:t xml:space="preserve">Нову редакцію Статуту було затверджено </w:t>
      </w:r>
      <w:r>
        <w:rPr>
          <w:sz w:val="28"/>
          <w:szCs w:val="28"/>
          <w:lang w:val="uk-UA"/>
        </w:rPr>
        <w:t xml:space="preserve">рішенням міської ради </w:t>
      </w:r>
      <w:r w:rsidRPr="004C16AC">
        <w:rPr>
          <w:color w:val="383838"/>
          <w:sz w:val="28"/>
          <w:szCs w:val="28"/>
          <w:shd w:val="clear" w:color="auto" w:fill="FFFFFF"/>
          <w:lang w:val="uk-UA"/>
        </w:rPr>
        <w:t>№9-</w:t>
      </w:r>
      <w:r w:rsidRPr="004C16AC">
        <w:rPr>
          <w:color w:val="383838"/>
          <w:sz w:val="28"/>
          <w:szCs w:val="28"/>
          <w:shd w:val="clear" w:color="auto" w:fill="FFFFFF"/>
        </w:rPr>
        <w:t>L</w:t>
      </w:r>
      <w:r w:rsidRPr="004C16AC">
        <w:rPr>
          <w:color w:val="383838"/>
          <w:sz w:val="28"/>
          <w:szCs w:val="28"/>
          <w:shd w:val="clear" w:color="auto" w:fill="FFFFFF"/>
          <w:lang w:val="uk-UA"/>
        </w:rPr>
        <w:t>ХІ-</w:t>
      </w:r>
      <w:r w:rsidRPr="004C16AC">
        <w:rPr>
          <w:color w:val="383838"/>
          <w:sz w:val="28"/>
          <w:szCs w:val="28"/>
          <w:shd w:val="clear" w:color="auto" w:fill="FFFFFF"/>
        </w:rPr>
        <w:t>V</w:t>
      </w:r>
      <w:r w:rsidRPr="004C16AC">
        <w:rPr>
          <w:color w:val="383838"/>
          <w:sz w:val="28"/>
          <w:szCs w:val="28"/>
          <w:shd w:val="clear" w:color="auto" w:fill="FFFFFF"/>
          <w:lang w:val="uk-UA"/>
        </w:rPr>
        <w:t>ІІ</w:t>
      </w:r>
      <w:r>
        <w:rPr>
          <w:sz w:val="28"/>
          <w:szCs w:val="28"/>
          <w:lang w:val="uk-UA"/>
        </w:rPr>
        <w:t xml:space="preserve"> від 01 серпня 2019 </w:t>
      </w:r>
      <w:r w:rsidR="00807705" w:rsidRPr="003F7A03">
        <w:rPr>
          <w:sz w:val="28"/>
          <w:szCs w:val="28"/>
          <w:lang w:val="uk-UA"/>
        </w:rPr>
        <w:t>р.</w:t>
      </w:r>
    </w:p>
    <w:p w:rsidR="00952EBC" w:rsidRDefault="00330CF8" w:rsidP="00330C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діяльності Підприємства</w:t>
      </w:r>
      <w:r w:rsidR="0025078C">
        <w:rPr>
          <w:sz w:val="28"/>
          <w:szCs w:val="28"/>
          <w:lang w:val="uk-UA"/>
        </w:rPr>
        <w:t xml:space="preserve"> згідно розділу</w:t>
      </w:r>
    </w:p>
    <w:p w:rsidR="00807705" w:rsidRPr="00330CF8" w:rsidRDefault="0025078C" w:rsidP="00330C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415AB">
        <w:rPr>
          <w:b/>
          <w:sz w:val="28"/>
          <w:szCs w:val="28"/>
          <w:lang w:val="uk-UA"/>
        </w:rPr>
        <w:t>2. Мета і предмет діяльності Підприємства</w:t>
      </w:r>
      <w:r w:rsidR="00330CF8">
        <w:rPr>
          <w:sz w:val="28"/>
          <w:szCs w:val="28"/>
          <w:lang w:val="uk-UA"/>
        </w:rPr>
        <w:t xml:space="preserve"> </w:t>
      </w:r>
      <w:r w:rsidR="005415AB">
        <w:rPr>
          <w:sz w:val="28"/>
          <w:szCs w:val="28"/>
          <w:lang w:val="uk-UA"/>
        </w:rPr>
        <w:t xml:space="preserve">Статуту </w:t>
      </w:r>
      <w:r w:rsidR="00330CF8">
        <w:rPr>
          <w:sz w:val="28"/>
          <w:szCs w:val="28"/>
          <w:lang w:val="uk-UA"/>
        </w:rPr>
        <w:t>є:</w:t>
      </w:r>
    </w:p>
    <w:p w:rsidR="00807705" w:rsidRDefault="00807705" w:rsidP="00807705">
      <w:pPr>
        <w:pStyle w:val="a8"/>
        <w:numPr>
          <w:ilvl w:val="0"/>
          <w:numId w:val="2"/>
        </w:numPr>
        <w:rPr>
          <w:szCs w:val="28"/>
        </w:rPr>
      </w:pPr>
      <w:r w:rsidRPr="003F7A03">
        <w:rPr>
          <w:szCs w:val="28"/>
        </w:rPr>
        <w:t>готельне господарство;</w:t>
      </w:r>
    </w:p>
    <w:p w:rsidR="00330CF8" w:rsidRPr="003F7A03" w:rsidRDefault="00330CF8" w:rsidP="00807705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банно-оздоровчий комплекс;</w:t>
      </w:r>
    </w:p>
    <w:p w:rsidR="00807705" w:rsidRPr="003F7A03" w:rsidRDefault="00330CF8" w:rsidP="00807705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діяльність з вивезення ТПВ та РПВ по місту Фастову</w:t>
      </w:r>
      <w:r w:rsidR="00807705" w:rsidRPr="003F7A03">
        <w:rPr>
          <w:szCs w:val="28"/>
        </w:rPr>
        <w:t>;</w:t>
      </w:r>
    </w:p>
    <w:p w:rsidR="00807705" w:rsidRPr="003F7A03" w:rsidRDefault="00807705" w:rsidP="00807705">
      <w:pPr>
        <w:pStyle w:val="a8"/>
        <w:numPr>
          <w:ilvl w:val="0"/>
          <w:numId w:val="2"/>
        </w:numPr>
        <w:rPr>
          <w:szCs w:val="28"/>
        </w:rPr>
      </w:pPr>
      <w:r w:rsidRPr="003F7A03">
        <w:rPr>
          <w:szCs w:val="28"/>
        </w:rPr>
        <w:t>ритуальні послуги</w:t>
      </w:r>
      <w:r w:rsidR="00330CF8">
        <w:rPr>
          <w:szCs w:val="28"/>
        </w:rPr>
        <w:t>, організація поховань і надання суміжних послуг</w:t>
      </w:r>
      <w:r w:rsidRPr="003F7A03">
        <w:rPr>
          <w:szCs w:val="28"/>
        </w:rPr>
        <w:t>;</w:t>
      </w:r>
    </w:p>
    <w:p w:rsidR="00330CF8" w:rsidRDefault="00330CF8" w:rsidP="00807705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поводження з твердими побутовими відходами;</w:t>
      </w:r>
    </w:p>
    <w:p w:rsidR="00807705" w:rsidRPr="003F7A03" w:rsidRDefault="00330CF8" w:rsidP="00807705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інші види діяльності незаборонені </w:t>
      </w:r>
      <w:r w:rsidR="0025078C">
        <w:rPr>
          <w:szCs w:val="28"/>
        </w:rPr>
        <w:t>чинним законодавством</w:t>
      </w:r>
      <w:r w:rsidR="00807705" w:rsidRPr="003F7A03">
        <w:rPr>
          <w:szCs w:val="28"/>
        </w:rPr>
        <w:t>.</w:t>
      </w:r>
      <w:r>
        <w:rPr>
          <w:szCs w:val="28"/>
        </w:rPr>
        <w:t>»</w:t>
      </w:r>
    </w:p>
    <w:p w:rsidR="00330CF8" w:rsidRPr="005415AB" w:rsidRDefault="00807705" w:rsidP="00807705">
      <w:pPr>
        <w:rPr>
          <w:sz w:val="28"/>
          <w:szCs w:val="28"/>
        </w:rPr>
      </w:pPr>
      <w:r w:rsidRPr="003F7A03">
        <w:rPr>
          <w:sz w:val="28"/>
          <w:szCs w:val="28"/>
          <w:lang w:val="uk-UA"/>
        </w:rPr>
        <w:t xml:space="preserve"> </w:t>
      </w:r>
      <w:r w:rsidRPr="003F7A03">
        <w:rPr>
          <w:sz w:val="28"/>
          <w:szCs w:val="28"/>
          <w:lang w:val="uk-UA"/>
        </w:rPr>
        <w:tab/>
        <w:t>Місцезнаходження підприємства</w:t>
      </w:r>
      <w:r w:rsidR="005415AB">
        <w:rPr>
          <w:sz w:val="28"/>
          <w:szCs w:val="28"/>
          <w:lang w:val="uk-UA"/>
        </w:rPr>
        <w:t>: 08500, Київська область,</w:t>
      </w:r>
      <w:r w:rsidRPr="003F7A03">
        <w:rPr>
          <w:sz w:val="28"/>
          <w:szCs w:val="28"/>
          <w:lang w:val="uk-UA"/>
        </w:rPr>
        <w:t xml:space="preserve"> м. Фастів</w:t>
      </w:r>
      <w:r w:rsidR="005415AB">
        <w:rPr>
          <w:sz w:val="28"/>
          <w:szCs w:val="28"/>
          <w:lang w:val="uk-UA"/>
        </w:rPr>
        <w:t>,</w:t>
      </w:r>
      <w:r w:rsidRPr="003F7A03">
        <w:rPr>
          <w:sz w:val="28"/>
          <w:szCs w:val="28"/>
          <w:lang w:val="uk-UA"/>
        </w:rPr>
        <w:t xml:space="preserve"> вул. </w:t>
      </w:r>
      <w:r w:rsidRPr="003F7A03">
        <w:rPr>
          <w:sz w:val="28"/>
          <w:szCs w:val="28"/>
        </w:rPr>
        <w:t>Нова</w:t>
      </w:r>
      <w:r w:rsidR="005415AB">
        <w:rPr>
          <w:sz w:val="28"/>
          <w:szCs w:val="28"/>
          <w:lang w:val="uk-UA"/>
        </w:rPr>
        <w:t>, будинок,</w:t>
      </w:r>
      <w:r w:rsidRPr="003F7A03">
        <w:rPr>
          <w:sz w:val="28"/>
          <w:szCs w:val="28"/>
        </w:rPr>
        <w:t xml:space="preserve"> 9. </w:t>
      </w:r>
      <w:r w:rsidR="00330CF8">
        <w:rPr>
          <w:sz w:val="28"/>
          <w:szCs w:val="28"/>
          <w:lang w:val="uk-UA"/>
        </w:rPr>
        <w:t xml:space="preserve"> </w:t>
      </w:r>
    </w:p>
    <w:p w:rsidR="00807705" w:rsidRDefault="00807705" w:rsidP="00DA77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 Фастівського </w:t>
      </w:r>
      <w:proofErr w:type="spellStart"/>
      <w:r>
        <w:rPr>
          <w:sz w:val="28"/>
          <w:szCs w:val="28"/>
          <w:lang w:val="uk-UA"/>
        </w:rPr>
        <w:t>ККП</w:t>
      </w:r>
      <w:proofErr w:type="spellEnd"/>
      <w:r w:rsidR="005415AB">
        <w:rPr>
          <w:sz w:val="28"/>
          <w:szCs w:val="28"/>
          <w:lang w:val="uk-UA"/>
        </w:rPr>
        <w:t xml:space="preserve"> на плановий 2020</w:t>
      </w:r>
      <w:r w:rsidR="00DA771D">
        <w:rPr>
          <w:sz w:val="28"/>
          <w:szCs w:val="28"/>
          <w:lang w:val="uk-UA"/>
        </w:rPr>
        <w:t xml:space="preserve"> рік</w:t>
      </w:r>
      <w:r w:rsidR="00330C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подана в таблиці 1.</w:t>
      </w:r>
    </w:p>
    <w:p w:rsidR="001329D2" w:rsidRPr="005F67DE" w:rsidRDefault="005F67DE" w:rsidP="005F67DE">
      <w:pPr>
        <w:ind w:firstLine="708"/>
        <w:jc w:val="both"/>
        <w:rPr>
          <w:sz w:val="28"/>
          <w:szCs w:val="28"/>
          <w:lang w:val="uk-UA"/>
        </w:rPr>
      </w:pPr>
      <w:r w:rsidRPr="005F67DE">
        <w:rPr>
          <w:sz w:val="28"/>
          <w:szCs w:val="28"/>
          <w:lang w:val="uk-UA"/>
        </w:rPr>
        <w:t xml:space="preserve">Фінансовий план </w:t>
      </w:r>
      <w:proofErr w:type="spellStart"/>
      <w:r w:rsidRPr="005F67DE">
        <w:rPr>
          <w:sz w:val="28"/>
          <w:szCs w:val="28"/>
          <w:lang w:val="uk-UA"/>
        </w:rPr>
        <w:t>КП</w:t>
      </w:r>
      <w:proofErr w:type="spellEnd"/>
      <w:r w:rsidRPr="005F67DE">
        <w:rPr>
          <w:sz w:val="28"/>
          <w:szCs w:val="28"/>
          <w:lang w:val="uk-UA"/>
        </w:rPr>
        <w:t xml:space="preserve"> «Фастівський комбінат комунальних підприємств» на 202</w:t>
      </w:r>
      <w:r w:rsidR="001A4DE5">
        <w:rPr>
          <w:sz w:val="28"/>
          <w:szCs w:val="28"/>
          <w:lang w:val="uk-UA"/>
        </w:rPr>
        <w:t>1</w:t>
      </w:r>
      <w:r w:rsidRPr="005F67DE">
        <w:rPr>
          <w:sz w:val="28"/>
          <w:szCs w:val="28"/>
          <w:lang w:val="uk-UA"/>
        </w:rPr>
        <w:t xml:space="preserve"> рік складено у відповідності до Порядку складання, затвердження та контролю за виконанням фінансових планів комунальних підприємств затвердженого рішенням Фастівської міської ради 29.01.2016 року № 13-VIII-VII.</w:t>
      </w:r>
    </w:p>
    <w:p w:rsidR="005F67DE" w:rsidRDefault="005F67DE" w:rsidP="00A40002">
      <w:pPr>
        <w:pStyle w:val="a7"/>
        <w:ind w:firstLine="708"/>
        <w:jc w:val="both"/>
        <w:rPr>
          <w:b/>
          <w:sz w:val="28"/>
          <w:szCs w:val="28"/>
          <w:lang w:val="uk-UA"/>
        </w:rPr>
      </w:pPr>
    </w:p>
    <w:p w:rsidR="00E3573B" w:rsidRPr="00A40002" w:rsidRDefault="00E279CF" w:rsidP="00A40002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919">
        <w:rPr>
          <w:b/>
          <w:sz w:val="28"/>
          <w:szCs w:val="28"/>
          <w:lang w:val="uk-UA"/>
        </w:rPr>
        <w:t xml:space="preserve">2. </w:t>
      </w:r>
      <w:r w:rsidR="001B1B7D">
        <w:rPr>
          <w:rFonts w:ascii="Times New Roman" w:hAnsi="Times New Roman"/>
          <w:b/>
          <w:sz w:val="28"/>
          <w:szCs w:val="28"/>
          <w:lang w:val="uk-UA"/>
        </w:rPr>
        <w:t>Формування дохідної частини фінансового плану.</w:t>
      </w:r>
      <w:r w:rsidR="001B1B7D" w:rsidRPr="00BF24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0002" w:rsidRPr="00594919" w:rsidRDefault="005415AB" w:rsidP="006C218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</w:t>
      </w:r>
      <w:r w:rsidR="001A4DE5">
        <w:rPr>
          <w:rFonts w:ascii="Times New Roman" w:hAnsi="Times New Roman"/>
          <w:sz w:val="28"/>
          <w:szCs w:val="28"/>
          <w:lang w:val="uk-UA"/>
        </w:rPr>
        <w:t>9</w:t>
      </w:r>
      <w:r w:rsidR="00A40002">
        <w:rPr>
          <w:rFonts w:ascii="Times New Roman" w:hAnsi="Times New Roman"/>
          <w:sz w:val="28"/>
          <w:szCs w:val="28"/>
          <w:lang w:val="uk-UA"/>
        </w:rPr>
        <w:t xml:space="preserve"> році чистий </w:t>
      </w:r>
      <w:r w:rsidR="00A40002" w:rsidRPr="00594919">
        <w:rPr>
          <w:rFonts w:ascii="Times New Roman" w:hAnsi="Times New Roman"/>
          <w:sz w:val="28"/>
          <w:szCs w:val="28"/>
          <w:lang w:val="uk-UA"/>
        </w:rPr>
        <w:t xml:space="preserve">дохід від реалізації продукції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«Фастівський комбінат</w:t>
      </w:r>
      <w:r w:rsidR="00A40002" w:rsidRPr="00594919">
        <w:rPr>
          <w:rFonts w:ascii="Times New Roman" w:hAnsi="Times New Roman"/>
          <w:sz w:val="28"/>
          <w:szCs w:val="28"/>
          <w:lang w:val="uk-UA"/>
        </w:rPr>
        <w:t xml:space="preserve"> комунальних </w:t>
      </w:r>
      <w:r w:rsidR="00DA771D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F67DE">
        <w:rPr>
          <w:rFonts w:ascii="Times New Roman" w:hAnsi="Times New Roman"/>
          <w:sz w:val="28"/>
          <w:szCs w:val="28"/>
          <w:lang w:val="uk-UA"/>
        </w:rPr>
        <w:t xml:space="preserve"> зріс на </w:t>
      </w:r>
      <w:r w:rsidR="006C2186">
        <w:rPr>
          <w:rFonts w:ascii="Times New Roman" w:hAnsi="Times New Roman"/>
          <w:sz w:val="28"/>
          <w:szCs w:val="28"/>
          <w:lang w:val="uk-UA"/>
        </w:rPr>
        <w:t>1</w:t>
      </w:r>
      <w:r w:rsidR="00A40002" w:rsidRPr="00594919">
        <w:rPr>
          <w:rFonts w:ascii="Times New Roman" w:hAnsi="Times New Roman"/>
          <w:sz w:val="28"/>
          <w:szCs w:val="28"/>
          <w:lang w:val="uk-UA"/>
        </w:rPr>
        <w:t xml:space="preserve"> % в порівнянні </w:t>
      </w:r>
      <w:r w:rsidR="00DA771D" w:rsidRPr="0059491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A771D">
        <w:rPr>
          <w:rFonts w:ascii="Times New Roman" w:hAnsi="Times New Roman"/>
          <w:sz w:val="28"/>
          <w:szCs w:val="28"/>
          <w:lang w:val="uk-UA"/>
        </w:rPr>
        <w:t>аналогічним періодом поп</w:t>
      </w:r>
      <w:r w:rsidR="005F67DE">
        <w:rPr>
          <w:rFonts w:ascii="Times New Roman" w:hAnsi="Times New Roman"/>
          <w:sz w:val="28"/>
          <w:szCs w:val="28"/>
          <w:lang w:val="uk-UA"/>
        </w:rPr>
        <w:t xml:space="preserve">ереднього року і  становить </w:t>
      </w:r>
      <w:r w:rsidR="006C2186">
        <w:rPr>
          <w:rFonts w:ascii="Times New Roman" w:hAnsi="Times New Roman"/>
          <w:sz w:val="28"/>
          <w:szCs w:val="28"/>
          <w:lang w:val="uk-UA"/>
        </w:rPr>
        <w:t>6642</w:t>
      </w:r>
      <w:r w:rsidR="00DA771D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A40002" w:rsidRPr="005949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0E11" w:rsidRDefault="00A40002" w:rsidP="00A40002">
      <w:pPr>
        <w:ind w:firstLine="708"/>
        <w:jc w:val="both"/>
        <w:rPr>
          <w:sz w:val="28"/>
          <w:szCs w:val="28"/>
          <w:lang w:val="uk-UA"/>
        </w:rPr>
      </w:pPr>
      <w:r w:rsidRPr="00594919">
        <w:rPr>
          <w:sz w:val="28"/>
          <w:szCs w:val="28"/>
        </w:rPr>
        <w:t xml:space="preserve">На </w:t>
      </w:r>
      <w:proofErr w:type="spellStart"/>
      <w:r w:rsidRPr="00594919">
        <w:rPr>
          <w:sz w:val="28"/>
          <w:szCs w:val="28"/>
        </w:rPr>
        <w:t>кінець</w:t>
      </w:r>
      <w:proofErr w:type="spellEnd"/>
      <w:r w:rsidRPr="00594919">
        <w:rPr>
          <w:sz w:val="28"/>
          <w:szCs w:val="28"/>
        </w:rPr>
        <w:t xml:space="preserve"> року </w:t>
      </w:r>
      <w:proofErr w:type="spellStart"/>
      <w:r w:rsidRPr="00594919">
        <w:rPr>
          <w:sz w:val="28"/>
          <w:szCs w:val="28"/>
        </w:rPr>
        <w:t>дебіторська</w:t>
      </w:r>
      <w:proofErr w:type="spellEnd"/>
      <w:r w:rsidRPr="00594919">
        <w:rPr>
          <w:sz w:val="28"/>
          <w:szCs w:val="28"/>
        </w:rPr>
        <w:t xml:space="preserve"> </w:t>
      </w:r>
      <w:proofErr w:type="spellStart"/>
      <w:r w:rsidRPr="00594919">
        <w:rPr>
          <w:sz w:val="28"/>
          <w:szCs w:val="28"/>
        </w:rPr>
        <w:t>заборгованість</w:t>
      </w:r>
      <w:proofErr w:type="spellEnd"/>
      <w:r w:rsidRPr="00594919">
        <w:rPr>
          <w:sz w:val="28"/>
          <w:szCs w:val="28"/>
        </w:rPr>
        <w:t xml:space="preserve"> за </w:t>
      </w:r>
      <w:proofErr w:type="spellStart"/>
      <w:r w:rsidRPr="00594919">
        <w:rPr>
          <w:sz w:val="28"/>
          <w:szCs w:val="28"/>
        </w:rPr>
        <w:t>товари</w:t>
      </w:r>
      <w:proofErr w:type="spellEnd"/>
      <w:r w:rsidRPr="00594919">
        <w:rPr>
          <w:sz w:val="28"/>
          <w:szCs w:val="28"/>
        </w:rPr>
        <w:t xml:space="preserve">, </w:t>
      </w:r>
      <w:proofErr w:type="spellStart"/>
      <w:r w:rsidRPr="00594919">
        <w:rPr>
          <w:sz w:val="28"/>
          <w:szCs w:val="28"/>
        </w:rPr>
        <w:t>роботи</w:t>
      </w:r>
      <w:proofErr w:type="spellEnd"/>
      <w:r w:rsidRPr="00594919">
        <w:rPr>
          <w:sz w:val="28"/>
          <w:szCs w:val="28"/>
        </w:rPr>
        <w:t xml:space="preserve">, </w:t>
      </w:r>
      <w:proofErr w:type="spellStart"/>
      <w:r w:rsidRPr="00594919">
        <w:rPr>
          <w:sz w:val="28"/>
          <w:szCs w:val="28"/>
        </w:rPr>
        <w:t>послу</w:t>
      </w:r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 xml:space="preserve">клала </w:t>
      </w:r>
      <w:r w:rsidRPr="00594919">
        <w:rPr>
          <w:sz w:val="28"/>
          <w:szCs w:val="28"/>
        </w:rPr>
        <w:t xml:space="preserve"> </w:t>
      </w:r>
      <w:r w:rsidR="000E6448">
        <w:rPr>
          <w:sz w:val="28"/>
          <w:szCs w:val="28"/>
          <w:lang w:val="uk-UA"/>
        </w:rPr>
        <w:t>1124</w:t>
      </w:r>
      <w:r w:rsidR="00712585">
        <w:rPr>
          <w:sz w:val="28"/>
          <w:szCs w:val="28"/>
          <w:lang w:val="uk-UA"/>
        </w:rPr>
        <w:t xml:space="preserve"> </w:t>
      </w:r>
      <w:r w:rsidRPr="00594919">
        <w:rPr>
          <w:sz w:val="28"/>
          <w:szCs w:val="28"/>
        </w:rPr>
        <w:t>тис</w:t>
      </w:r>
      <w:proofErr w:type="gramStart"/>
      <w:r w:rsidRPr="00594919">
        <w:rPr>
          <w:sz w:val="28"/>
          <w:szCs w:val="28"/>
        </w:rPr>
        <w:t>.</w:t>
      </w:r>
      <w:proofErr w:type="gramEnd"/>
      <w:r w:rsidRPr="00594919">
        <w:rPr>
          <w:sz w:val="28"/>
          <w:szCs w:val="28"/>
        </w:rPr>
        <w:t xml:space="preserve"> </w:t>
      </w:r>
      <w:proofErr w:type="spellStart"/>
      <w:proofErr w:type="gramStart"/>
      <w:r w:rsidRPr="00594919">
        <w:rPr>
          <w:sz w:val="28"/>
          <w:szCs w:val="28"/>
        </w:rPr>
        <w:t>г</w:t>
      </w:r>
      <w:proofErr w:type="gramEnd"/>
      <w:r w:rsidRPr="00594919">
        <w:rPr>
          <w:sz w:val="28"/>
          <w:szCs w:val="28"/>
        </w:rPr>
        <w:t>рн</w:t>
      </w:r>
      <w:proofErr w:type="spellEnd"/>
      <w:r w:rsidRPr="0059491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A3370A">
        <w:rPr>
          <w:sz w:val="28"/>
          <w:szCs w:val="28"/>
          <w:lang w:val="uk-UA"/>
        </w:rPr>
        <w:t>В структурі балансу «</w:t>
      </w:r>
      <w:r w:rsidR="004D65F3">
        <w:rPr>
          <w:sz w:val="28"/>
          <w:szCs w:val="28"/>
          <w:lang w:val="uk-UA"/>
        </w:rPr>
        <w:t>Нео</w:t>
      </w:r>
      <w:r w:rsidR="00A3370A">
        <w:rPr>
          <w:sz w:val="28"/>
          <w:szCs w:val="28"/>
          <w:lang w:val="uk-UA"/>
        </w:rPr>
        <w:t>б</w:t>
      </w:r>
      <w:r w:rsidR="004D65F3">
        <w:rPr>
          <w:sz w:val="28"/>
          <w:szCs w:val="28"/>
          <w:lang w:val="uk-UA"/>
        </w:rPr>
        <w:t>оротні активи</w:t>
      </w:r>
      <w:r w:rsidR="00A6632A">
        <w:rPr>
          <w:sz w:val="28"/>
          <w:szCs w:val="28"/>
          <w:lang w:val="uk-UA"/>
        </w:rPr>
        <w:t xml:space="preserve">» склали </w:t>
      </w:r>
      <w:r w:rsidR="000E6448">
        <w:rPr>
          <w:sz w:val="28"/>
          <w:szCs w:val="28"/>
          <w:lang w:val="uk-UA"/>
        </w:rPr>
        <w:t>708</w:t>
      </w:r>
      <w:r w:rsidR="00A3370A">
        <w:rPr>
          <w:sz w:val="28"/>
          <w:szCs w:val="28"/>
          <w:lang w:val="uk-UA"/>
        </w:rPr>
        <w:t xml:space="preserve"> </w:t>
      </w:r>
      <w:proofErr w:type="spellStart"/>
      <w:r w:rsidR="00A3370A">
        <w:rPr>
          <w:sz w:val="28"/>
          <w:szCs w:val="28"/>
          <w:lang w:val="uk-UA"/>
        </w:rPr>
        <w:t>тис.грн</w:t>
      </w:r>
      <w:proofErr w:type="spellEnd"/>
      <w:r w:rsidR="00A3370A">
        <w:rPr>
          <w:sz w:val="28"/>
          <w:szCs w:val="28"/>
          <w:lang w:val="uk-UA"/>
        </w:rPr>
        <w:t>., «О</w:t>
      </w:r>
      <w:r>
        <w:rPr>
          <w:sz w:val="28"/>
          <w:szCs w:val="28"/>
          <w:lang w:val="uk-UA"/>
        </w:rPr>
        <w:t>боротні ак</w:t>
      </w:r>
      <w:r w:rsidR="00DA771D">
        <w:rPr>
          <w:sz w:val="28"/>
          <w:szCs w:val="28"/>
          <w:lang w:val="uk-UA"/>
        </w:rPr>
        <w:t>т</w:t>
      </w:r>
      <w:r w:rsidR="00712585">
        <w:rPr>
          <w:sz w:val="28"/>
          <w:szCs w:val="28"/>
          <w:lang w:val="uk-UA"/>
        </w:rPr>
        <w:t>иви</w:t>
      </w:r>
      <w:r w:rsidR="00A3370A">
        <w:rPr>
          <w:sz w:val="28"/>
          <w:szCs w:val="28"/>
          <w:lang w:val="uk-UA"/>
        </w:rPr>
        <w:t>»</w:t>
      </w:r>
      <w:r w:rsidR="00712585">
        <w:rPr>
          <w:sz w:val="28"/>
          <w:szCs w:val="28"/>
          <w:lang w:val="uk-UA"/>
        </w:rPr>
        <w:t xml:space="preserve"> </w:t>
      </w:r>
      <w:r w:rsidR="00A3370A">
        <w:rPr>
          <w:sz w:val="28"/>
          <w:szCs w:val="28"/>
          <w:lang w:val="uk-UA"/>
        </w:rPr>
        <w:t>-</w:t>
      </w:r>
      <w:r w:rsidR="00A6632A">
        <w:rPr>
          <w:sz w:val="28"/>
          <w:szCs w:val="28"/>
          <w:lang w:val="uk-UA"/>
        </w:rPr>
        <w:t xml:space="preserve"> </w:t>
      </w:r>
      <w:r w:rsidR="000E6448">
        <w:rPr>
          <w:sz w:val="28"/>
          <w:szCs w:val="28"/>
          <w:lang w:val="uk-UA"/>
        </w:rPr>
        <w:t>4593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D17E3C">
        <w:rPr>
          <w:sz w:val="28"/>
          <w:szCs w:val="28"/>
          <w:lang w:val="uk-UA"/>
        </w:rPr>
        <w:t xml:space="preserve"> Кредиторська заборгованість за товари та послуги скла</w:t>
      </w:r>
      <w:r w:rsidRPr="00594919">
        <w:rPr>
          <w:sz w:val="28"/>
          <w:szCs w:val="28"/>
          <w:lang w:val="uk-UA"/>
        </w:rPr>
        <w:t>ла</w:t>
      </w:r>
      <w:r w:rsidRPr="00D17E3C">
        <w:rPr>
          <w:sz w:val="28"/>
          <w:szCs w:val="28"/>
          <w:lang w:val="uk-UA"/>
        </w:rPr>
        <w:t xml:space="preserve"> </w:t>
      </w:r>
      <w:r w:rsidR="000E6448">
        <w:rPr>
          <w:sz w:val="28"/>
          <w:szCs w:val="28"/>
          <w:lang w:val="uk-UA"/>
        </w:rPr>
        <w:t>75</w:t>
      </w:r>
      <w:r w:rsidRPr="00D17E3C">
        <w:rPr>
          <w:sz w:val="28"/>
          <w:szCs w:val="28"/>
          <w:lang w:val="uk-UA"/>
        </w:rPr>
        <w:t xml:space="preserve"> тис. грн</w:t>
      </w:r>
      <w:r w:rsidRPr="00D17E3C">
        <w:rPr>
          <w:rStyle w:val="a5"/>
          <w:sz w:val="28"/>
          <w:szCs w:val="28"/>
          <w:lang w:val="uk-UA"/>
        </w:rPr>
        <w:t>.</w:t>
      </w:r>
      <w:r w:rsidR="00A3370A">
        <w:rPr>
          <w:rStyle w:val="a5"/>
          <w:i w:val="0"/>
          <w:sz w:val="28"/>
          <w:szCs w:val="28"/>
          <w:lang w:val="uk-UA"/>
        </w:rPr>
        <w:t xml:space="preserve"> за розрахункам</w:t>
      </w:r>
      <w:r w:rsidR="00A6632A">
        <w:rPr>
          <w:rStyle w:val="a5"/>
          <w:i w:val="0"/>
          <w:sz w:val="28"/>
          <w:szCs w:val="28"/>
          <w:lang w:val="uk-UA"/>
        </w:rPr>
        <w:t>и зі страхування – 18</w:t>
      </w:r>
      <w:r w:rsidR="006C6E37">
        <w:rPr>
          <w:rStyle w:val="a5"/>
          <w:i w:val="0"/>
          <w:sz w:val="28"/>
          <w:szCs w:val="28"/>
          <w:lang w:val="uk-UA"/>
        </w:rPr>
        <w:t>85</w:t>
      </w:r>
      <w:r w:rsidR="002F6CE6">
        <w:rPr>
          <w:rStyle w:val="a5"/>
          <w:i w:val="0"/>
          <w:sz w:val="28"/>
          <w:szCs w:val="28"/>
          <w:lang w:val="uk-UA"/>
        </w:rPr>
        <w:t xml:space="preserve"> </w:t>
      </w:r>
      <w:proofErr w:type="spellStart"/>
      <w:r w:rsidR="002F6CE6">
        <w:rPr>
          <w:rStyle w:val="a5"/>
          <w:i w:val="0"/>
          <w:sz w:val="28"/>
          <w:szCs w:val="28"/>
          <w:lang w:val="uk-UA"/>
        </w:rPr>
        <w:t>тис.грн</w:t>
      </w:r>
      <w:proofErr w:type="spellEnd"/>
      <w:r w:rsidR="002F6CE6">
        <w:rPr>
          <w:rStyle w:val="a5"/>
          <w:i w:val="0"/>
          <w:sz w:val="28"/>
          <w:szCs w:val="28"/>
          <w:lang w:val="uk-UA"/>
        </w:rPr>
        <w:t>. Всього п</w:t>
      </w:r>
      <w:r w:rsidR="00A3370A">
        <w:rPr>
          <w:rStyle w:val="a5"/>
          <w:i w:val="0"/>
          <w:sz w:val="28"/>
          <w:szCs w:val="28"/>
          <w:lang w:val="uk-UA"/>
        </w:rPr>
        <w:t>ото</w:t>
      </w:r>
      <w:r w:rsidRPr="00D17E3C">
        <w:rPr>
          <w:rStyle w:val="a5"/>
          <w:i w:val="0"/>
          <w:sz w:val="28"/>
          <w:szCs w:val="28"/>
          <w:lang w:val="uk-UA"/>
        </w:rPr>
        <w:t>ч</w:t>
      </w:r>
      <w:r>
        <w:rPr>
          <w:rStyle w:val="a5"/>
          <w:i w:val="0"/>
          <w:sz w:val="28"/>
          <w:szCs w:val="28"/>
          <w:lang w:val="uk-UA"/>
        </w:rPr>
        <w:t xml:space="preserve">ні </w:t>
      </w:r>
      <w:r w:rsidR="004745BD">
        <w:rPr>
          <w:rStyle w:val="a5"/>
          <w:i w:val="0"/>
          <w:sz w:val="28"/>
          <w:szCs w:val="28"/>
          <w:lang w:val="uk-UA"/>
        </w:rPr>
        <w:t>зобов’яза</w:t>
      </w:r>
      <w:r w:rsidR="00A6632A">
        <w:rPr>
          <w:rStyle w:val="a5"/>
          <w:i w:val="0"/>
          <w:sz w:val="28"/>
          <w:szCs w:val="28"/>
          <w:lang w:val="uk-UA"/>
        </w:rPr>
        <w:t xml:space="preserve">ння підприємства становлять </w:t>
      </w:r>
      <w:r w:rsidR="006C6E37">
        <w:rPr>
          <w:rStyle w:val="a5"/>
          <w:i w:val="0"/>
          <w:sz w:val="28"/>
          <w:szCs w:val="28"/>
          <w:lang w:val="uk-UA"/>
        </w:rPr>
        <w:t>2586</w:t>
      </w:r>
      <w:r w:rsidR="004745BD">
        <w:rPr>
          <w:rStyle w:val="a5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a5"/>
          <w:i w:val="0"/>
          <w:sz w:val="28"/>
          <w:szCs w:val="28"/>
          <w:lang w:val="uk-UA"/>
        </w:rPr>
        <w:t>тис.грн</w:t>
      </w:r>
      <w:proofErr w:type="spellEnd"/>
      <w:r>
        <w:rPr>
          <w:rStyle w:val="a5"/>
          <w:i w:val="0"/>
          <w:sz w:val="28"/>
          <w:szCs w:val="28"/>
          <w:lang w:val="uk-UA"/>
        </w:rPr>
        <w:t>.</w:t>
      </w:r>
      <w:r w:rsidR="00A6632A">
        <w:rPr>
          <w:rStyle w:val="a5"/>
          <w:i w:val="0"/>
          <w:sz w:val="28"/>
          <w:szCs w:val="28"/>
          <w:lang w:val="uk-UA"/>
        </w:rPr>
        <w:t xml:space="preserve"> </w:t>
      </w:r>
      <w:r w:rsidR="00B71768">
        <w:rPr>
          <w:sz w:val="28"/>
          <w:szCs w:val="28"/>
          <w:lang w:val="uk-UA"/>
        </w:rPr>
        <w:lastRenderedPageBreak/>
        <w:t>В зв’язку з передачею майна</w:t>
      </w:r>
      <w:r w:rsidR="004D3435">
        <w:rPr>
          <w:sz w:val="28"/>
          <w:szCs w:val="28"/>
          <w:lang w:val="uk-UA"/>
        </w:rPr>
        <w:t>,</w:t>
      </w:r>
      <w:r w:rsidR="00B71768">
        <w:rPr>
          <w:sz w:val="28"/>
          <w:szCs w:val="28"/>
          <w:lang w:val="uk-UA"/>
        </w:rPr>
        <w:t xml:space="preserve"> відповідно до рішення Фастівської міської ради № 34-ХХХ</w:t>
      </w:r>
      <w:r w:rsidR="00B71768">
        <w:rPr>
          <w:sz w:val="28"/>
          <w:szCs w:val="28"/>
          <w:lang w:val="en-US"/>
        </w:rPr>
        <w:t>VII</w:t>
      </w:r>
      <w:r w:rsidR="00B71768" w:rsidRPr="00B71768">
        <w:rPr>
          <w:sz w:val="28"/>
          <w:szCs w:val="28"/>
          <w:lang w:val="uk-UA"/>
        </w:rPr>
        <w:t>-</w:t>
      </w:r>
      <w:r w:rsidR="00B71768">
        <w:rPr>
          <w:sz w:val="28"/>
          <w:szCs w:val="28"/>
          <w:lang w:val="en-US"/>
        </w:rPr>
        <w:t>VII</w:t>
      </w:r>
      <w:r w:rsidR="00B71768" w:rsidRPr="00B71768">
        <w:rPr>
          <w:sz w:val="28"/>
          <w:szCs w:val="28"/>
          <w:lang w:val="uk-UA"/>
        </w:rPr>
        <w:t xml:space="preserve"> </w:t>
      </w:r>
      <w:r w:rsidR="00B71768">
        <w:rPr>
          <w:sz w:val="28"/>
          <w:szCs w:val="28"/>
          <w:lang w:val="uk-UA"/>
        </w:rPr>
        <w:t>від 08.02.2018 р.</w:t>
      </w:r>
      <w:r w:rsidR="004D3435">
        <w:rPr>
          <w:sz w:val="28"/>
          <w:szCs w:val="28"/>
          <w:lang w:val="uk-UA"/>
        </w:rPr>
        <w:t xml:space="preserve"> «Про передачу майна з господарського відання та</w:t>
      </w:r>
      <w:r w:rsidR="00984559">
        <w:rPr>
          <w:sz w:val="28"/>
          <w:szCs w:val="28"/>
          <w:lang w:val="uk-UA"/>
        </w:rPr>
        <w:t xml:space="preserve"> </w:t>
      </w:r>
      <w:r w:rsidR="004D3435">
        <w:rPr>
          <w:sz w:val="28"/>
          <w:szCs w:val="28"/>
          <w:lang w:val="uk-UA"/>
        </w:rPr>
        <w:t xml:space="preserve"> балансу Фастівського комбінату комунальних підприємств в господарське відання на баланс комунальному підприємству Фастівської міської ради «</w:t>
      </w:r>
      <w:proofErr w:type="spellStart"/>
      <w:r w:rsidR="004D3435">
        <w:rPr>
          <w:sz w:val="28"/>
          <w:szCs w:val="28"/>
          <w:lang w:val="uk-UA"/>
        </w:rPr>
        <w:t>Фастів-благоустрій</w:t>
      </w:r>
      <w:proofErr w:type="spellEnd"/>
      <w:r w:rsidR="004D3435">
        <w:rPr>
          <w:sz w:val="28"/>
          <w:szCs w:val="28"/>
          <w:lang w:val="uk-UA"/>
        </w:rPr>
        <w:t>» та рішення Фастівської міської ради № 37-ХХХ</w:t>
      </w:r>
      <w:r w:rsidR="004D3435">
        <w:rPr>
          <w:sz w:val="28"/>
          <w:szCs w:val="28"/>
          <w:lang w:val="en-US"/>
        </w:rPr>
        <w:t>VII</w:t>
      </w:r>
      <w:r w:rsidR="004D3435" w:rsidRPr="00B71768">
        <w:rPr>
          <w:sz w:val="28"/>
          <w:szCs w:val="28"/>
          <w:lang w:val="uk-UA"/>
        </w:rPr>
        <w:t>-</w:t>
      </w:r>
      <w:r w:rsidR="004D3435">
        <w:rPr>
          <w:sz w:val="28"/>
          <w:szCs w:val="28"/>
          <w:lang w:val="en-US"/>
        </w:rPr>
        <w:t>VII</w:t>
      </w:r>
      <w:r w:rsidR="004D3435" w:rsidRPr="00B71768">
        <w:rPr>
          <w:sz w:val="28"/>
          <w:szCs w:val="28"/>
          <w:lang w:val="uk-UA"/>
        </w:rPr>
        <w:t xml:space="preserve"> </w:t>
      </w:r>
      <w:r w:rsidR="004D3435">
        <w:rPr>
          <w:sz w:val="28"/>
          <w:szCs w:val="28"/>
          <w:lang w:val="uk-UA"/>
        </w:rPr>
        <w:t>від 08.02.2018 р. «Про передачу майна з господарського відання та</w:t>
      </w:r>
      <w:r w:rsidR="00984559">
        <w:rPr>
          <w:sz w:val="28"/>
          <w:szCs w:val="28"/>
          <w:lang w:val="uk-UA"/>
        </w:rPr>
        <w:t xml:space="preserve"> балансу Фастівського комбінату комунальних підприємств на баланс</w:t>
      </w:r>
      <w:r w:rsidR="004D3435">
        <w:rPr>
          <w:sz w:val="28"/>
          <w:szCs w:val="28"/>
          <w:lang w:val="uk-UA"/>
        </w:rPr>
        <w:t xml:space="preserve"> </w:t>
      </w:r>
      <w:r w:rsidR="00984559">
        <w:rPr>
          <w:sz w:val="28"/>
          <w:szCs w:val="28"/>
          <w:lang w:val="uk-UA"/>
        </w:rPr>
        <w:t>виконавчого комітету Фастівської міської ради</w:t>
      </w:r>
      <w:r w:rsidR="004D3435">
        <w:rPr>
          <w:sz w:val="28"/>
          <w:szCs w:val="28"/>
          <w:lang w:val="uk-UA"/>
        </w:rPr>
        <w:t>»</w:t>
      </w:r>
      <w:r w:rsidR="006A0E11">
        <w:rPr>
          <w:sz w:val="28"/>
          <w:szCs w:val="28"/>
          <w:lang w:val="uk-UA"/>
        </w:rPr>
        <w:t xml:space="preserve"> в ІІ кварталі поточного року були внесені зміни в структуру балансу, а саме: </w:t>
      </w:r>
    </w:p>
    <w:p w:rsidR="006A0E11" w:rsidRDefault="006A0E11" w:rsidP="00A400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вартість необоротних активів зменшилася на 85,1% та станом на 30.06.2019 р. становить 1728 тис. грн.;</w:t>
      </w:r>
    </w:p>
    <w:p w:rsidR="006A0E11" w:rsidRDefault="006A0E11" w:rsidP="00A400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оборотні активи підприємства склали 5074 тис. грн., що на 59% менше в порівнянні з початком 2019 р.;</w:t>
      </w:r>
    </w:p>
    <w:p w:rsidR="001100F8" w:rsidRDefault="006A0E11" w:rsidP="00A400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власний капітал підприємства зменшився на 81,8% та становить 2838 тис.</w:t>
      </w:r>
      <w:r w:rsidR="001100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1100F8">
        <w:rPr>
          <w:sz w:val="28"/>
          <w:szCs w:val="28"/>
          <w:lang w:val="uk-UA"/>
        </w:rPr>
        <w:t>;</w:t>
      </w:r>
    </w:p>
    <w:p w:rsidR="00166630" w:rsidRDefault="006A0E11" w:rsidP="001666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6630">
        <w:rPr>
          <w:sz w:val="28"/>
          <w:szCs w:val="28"/>
          <w:lang w:val="uk-UA"/>
        </w:rPr>
        <w:t xml:space="preserve">- розмір поточних зобов’язань підприємства зменшився на 52,6% </w:t>
      </w:r>
      <w:r w:rsidR="00166630" w:rsidRPr="00166630">
        <w:rPr>
          <w:sz w:val="28"/>
          <w:szCs w:val="28"/>
          <w:lang w:val="uk-UA"/>
        </w:rPr>
        <w:t>та станом</w:t>
      </w:r>
      <w:r w:rsidR="00166630">
        <w:rPr>
          <w:sz w:val="28"/>
          <w:szCs w:val="28"/>
          <w:lang w:val="uk-UA"/>
        </w:rPr>
        <w:t xml:space="preserve"> на 30.06.2019 р. становить 3964</w:t>
      </w:r>
      <w:r w:rsidR="00166630" w:rsidRPr="00166630">
        <w:rPr>
          <w:sz w:val="28"/>
          <w:szCs w:val="28"/>
          <w:lang w:val="uk-UA"/>
        </w:rPr>
        <w:t xml:space="preserve"> тис. грн</w:t>
      </w:r>
      <w:r w:rsidR="00166630">
        <w:rPr>
          <w:sz w:val="28"/>
          <w:szCs w:val="28"/>
          <w:lang w:val="uk-UA"/>
        </w:rPr>
        <w:t>.</w:t>
      </w:r>
    </w:p>
    <w:p w:rsidR="00B71768" w:rsidRPr="00B71768" w:rsidRDefault="00BC650F" w:rsidP="001666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Фінансового плану на</w:t>
      </w:r>
      <w:r w:rsidR="00A663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кінець </w:t>
      </w:r>
      <w:r w:rsidR="00A6632A">
        <w:rPr>
          <w:sz w:val="28"/>
          <w:szCs w:val="28"/>
          <w:lang w:val="uk-UA"/>
        </w:rPr>
        <w:t>202</w:t>
      </w:r>
      <w:r w:rsidR="00B905C6">
        <w:rPr>
          <w:sz w:val="28"/>
          <w:szCs w:val="28"/>
          <w:lang w:val="uk-UA"/>
        </w:rPr>
        <w:t>1</w:t>
      </w:r>
      <w:r w:rsidR="002F6CE6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заплановано зменшення розміру поточних зо</w:t>
      </w:r>
      <w:r w:rsidR="00915A02">
        <w:rPr>
          <w:sz w:val="28"/>
          <w:szCs w:val="28"/>
          <w:lang w:val="uk-UA"/>
        </w:rPr>
        <w:t>бов’язань на суму 2108</w:t>
      </w:r>
      <w:r>
        <w:rPr>
          <w:sz w:val="28"/>
          <w:szCs w:val="28"/>
          <w:lang w:val="uk-UA"/>
        </w:rPr>
        <w:t xml:space="preserve"> тис. грн. за рахунок сплати </w:t>
      </w:r>
      <w:proofErr w:type="spellStart"/>
      <w:r>
        <w:rPr>
          <w:sz w:val="28"/>
          <w:szCs w:val="28"/>
          <w:lang w:val="uk-UA"/>
        </w:rPr>
        <w:t>реструктуризованого</w:t>
      </w:r>
      <w:proofErr w:type="spellEnd"/>
      <w:r>
        <w:rPr>
          <w:sz w:val="28"/>
          <w:szCs w:val="28"/>
          <w:lang w:val="uk-UA"/>
        </w:rPr>
        <w:t xml:space="preserve"> боргу пода</w:t>
      </w:r>
      <w:r w:rsidR="00915A02">
        <w:rPr>
          <w:sz w:val="28"/>
          <w:szCs w:val="28"/>
          <w:lang w:val="uk-UA"/>
        </w:rPr>
        <w:t xml:space="preserve">ткових зобов’язань в </w:t>
      </w:r>
      <w:r>
        <w:rPr>
          <w:sz w:val="28"/>
          <w:szCs w:val="28"/>
          <w:lang w:val="uk-UA"/>
        </w:rPr>
        <w:t>202</w:t>
      </w:r>
      <w:r w:rsidR="00B905C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р., а також за рахунок отримання коштів з місцевого бюджету на погашення штрафних санкцій за несвоєчасну сплату ЄСВ у розмірі 1980 тис. грн.</w:t>
      </w:r>
      <w:r w:rsidR="002F6CE6">
        <w:rPr>
          <w:sz w:val="28"/>
          <w:szCs w:val="28"/>
          <w:lang w:val="uk-UA"/>
        </w:rPr>
        <w:t xml:space="preserve">  </w:t>
      </w:r>
      <w:r w:rsidR="00606EFC">
        <w:rPr>
          <w:sz w:val="28"/>
          <w:szCs w:val="28"/>
          <w:lang w:val="uk-UA"/>
        </w:rPr>
        <w:t xml:space="preserve"> </w:t>
      </w:r>
    </w:p>
    <w:p w:rsidR="004A48E3" w:rsidRDefault="00A40002" w:rsidP="00A40002">
      <w:pPr>
        <w:ind w:firstLine="708"/>
        <w:jc w:val="both"/>
        <w:rPr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201</w:t>
      </w:r>
      <w:r w:rsidR="002D6F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відбулося на </w:t>
      </w:r>
      <w:r w:rsidR="004A48E3">
        <w:rPr>
          <w:sz w:val="28"/>
          <w:szCs w:val="28"/>
          <w:lang w:val="uk-UA"/>
        </w:rPr>
        <w:t>1803</w:t>
      </w:r>
      <w:r>
        <w:rPr>
          <w:sz w:val="28"/>
          <w:szCs w:val="28"/>
          <w:lang w:val="uk-UA"/>
        </w:rPr>
        <w:t xml:space="preserve"> тис. грн. збільшення</w:t>
      </w:r>
      <w:r w:rsidRPr="00594919">
        <w:rPr>
          <w:sz w:val="28"/>
          <w:szCs w:val="28"/>
          <w:lang w:val="uk-UA"/>
        </w:rPr>
        <w:t xml:space="preserve"> собівартості реалізованої продукції та послуг за рахунок </w:t>
      </w:r>
      <w:r>
        <w:rPr>
          <w:sz w:val="28"/>
          <w:szCs w:val="28"/>
          <w:lang w:val="uk-UA"/>
        </w:rPr>
        <w:t>збільшення видатків на паливо-енергетичні ресурси</w:t>
      </w:r>
      <w:r w:rsidR="004A48E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оплату праці</w:t>
      </w:r>
      <w:r w:rsidR="004A48E3">
        <w:rPr>
          <w:sz w:val="28"/>
          <w:szCs w:val="28"/>
          <w:lang w:val="uk-UA"/>
        </w:rPr>
        <w:t xml:space="preserve"> та придбання ритуальних товарів</w:t>
      </w:r>
      <w:r>
        <w:rPr>
          <w:sz w:val="28"/>
          <w:szCs w:val="28"/>
          <w:lang w:val="uk-UA"/>
        </w:rPr>
        <w:t xml:space="preserve">. </w:t>
      </w:r>
      <w:r w:rsidRPr="00594919">
        <w:rPr>
          <w:rStyle w:val="a6"/>
          <w:i w:val="0"/>
          <w:sz w:val="28"/>
          <w:szCs w:val="28"/>
        </w:rPr>
        <w:t xml:space="preserve">У </w:t>
      </w:r>
      <w:proofErr w:type="spellStart"/>
      <w:r w:rsidRPr="00594919">
        <w:rPr>
          <w:rStyle w:val="a6"/>
          <w:i w:val="0"/>
          <w:sz w:val="28"/>
          <w:szCs w:val="28"/>
        </w:rPr>
        <w:t>структурі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видаткової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частини</w:t>
      </w:r>
      <w:proofErr w:type="spellEnd"/>
      <w:r w:rsidRPr="00594919">
        <w:rPr>
          <w:rStyle w:val="a6"/>
          <w:i w:val="0"/>
          <w:sz w:val="28"/>
          <w:szCs w:val="28"/>
          <w:lang w:val="uk-UA"/>
        </w:rPr>
        <w:t xml:space="preserve"> </w:t>
      </w:r>
      <w:r w:rsidRPr="00594919">
        <w:rPr>
          <w:rStyle w:val="a6"/>
          <w:i w:val="0"/>
          <w:sz w:val="28"/>
          <w:szCs w:val="28"/>
        </w:rPr>
        <w:t xml:space="preserve">за </w:t>
      </w:r>
      <w:proofErr w:type="spellStart"/>
      <w:r w:rsidRPr="00594919">
        <w:rPr>
          <w:rStyle w:val="a6"/>
          <w:i w:val="0"/>
          <w:sz w:val="28"/>
          <w:szCs w:val="28"/>
        </w:rPr>
        <w:t>економічними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категоріями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найбільшу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gramStart"/>
      <w:r w:rsidRPr="00594919">
        <w:rPr>
          <w:rStyle w:val="a6"/>
          <w:i w:val="0"/>
          <w:sz w:val="28"/>
          <w:szCs w:val="28"/>
        </w:rPr>
        <w:t>питому</w:t>
      </w:r>
      <w:proofErr w:type="gramEnd"/>
      <w:r w:rsidRPr="00594919">
        <w:rPr>
          <w:rStyle w:val="a6"/>
          <w:i w:val="0"/>
          <w:sz w:val="28"/>
          <w:szCs w:val="28"/>
        </w:rPr>
        <w:t xml:space="preserve"> вагу </w:t>
      </w:r>
      <w:proofErr w:type="spellStart"/>
      <w:r w:rsidRPr="00594919">
        <w:rPr>
          <w:rStyle w:val="a6"/>
          <w:i w:val="0"/>
          <w:sz w:val="28"/>
          <w:szCs w:val="28"/>
        </w:rPr>
        <w:t>зайняли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видатки</w:t>
      </w:r>
      <w:proofErr w:type="spellEnd"/>
      <w:r w:rsidRPr="00594919">
        <w:rPr>
          <w:rStyle w:val="a6"/>
          <w:i w:val="0"/>
          <w:sz w:val="28"/>
          <w:szCs w:val="28"/>
        </w:rPr>
        <w:t xml:space="preserve"> на </w:t>
      </w:r>
      <w:proofErr w:type="spellStart"/>
      <w:r w:rsidRPr="00594919">
        <w:rPr>
          <w:rStyle w:val="a6"/>
          <w:i w:val="0"/>
          <w:sz w:val="28"/>
          <w:szCs w:val="28"/>
        </w:rPr>
        <w:t>виплату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заробітної</w:t>
      </w:r>
      <w:proofErr w:type="spellEnd"/>
      <w:r w:rsidRPr="00594919">
        <w:rPr>
          <w:rStyle w:val="a6"/>
          <w:i w:val="0"/>
          <w:sz w:val="28"/>
          <w:szCs w:val="28"/>
        </w:rPr>
        <w:t xml:space="preserve"> плати </w:t>
      </w:r>
      <w:proofErr w:type="spellStart"/>
      <w:r w:rsidRPr="00594919">
        <w:rPr>
          <w:rStyle w:val="a6"/>
          <w:i w:val="0"/>
          <w:sz w:val="28"/>
          <w:szCs w:val="28"/>
        </w:rPr>
        <w:t>працівникам</w:t>
      </w:r>
      <w:proofErr w:type="spellEnd"/>
      <w:r w:rsidRPr="00594919">
        <w:rPr>
          <w:rStyle w:val="a6"/>
          <w:i w:val="0"/>
          <w:sz w:val="28"/>
          <w:szCs w:val="28"/>
        </w:rPr>
        <w:t xml:space="preserve"> та </w:t>
      </w:r>
      <w:proofErr w:type="spellStart"/>
      <w:r w:rsidRPr="00594919">
        <w:rPr>
          <w:rStyle w:val="a6"/>
          <w:i w:val="0"/>
          <w:sz w:val="28"/>
          <w:szCs w:val="28"/>
        </w:rPr>
        <w:t>придбання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матеріальних</w:t>
      </w:r>
      <w:proofErr w:type="spellEnd"/>
      <w:r w:rsidRPr="00594919">
        <w:rPr>
          <w:rStyle w:val="a6"/>
          <w:i w:val="0"/>
          <w:sz w:val="28"/>
          <w:szCs w:val="28"/>
        </w:rPr>
        <w:t xml:space="preserve"> </w:t>
      </w:r>
      <w:proofErr w:type="spellStart"/>
      <w:r w:rsidRPr="00594919">
        <w:rPr>
          <w:rStyle w:val="a6"/>
          <w:i w:val="0"/>
          <w:sz w:val="28"/>
          <w:szCs w:val="28"/>
        </w:rPr>
        <w:t>ресурсів</w:t>
      </w:r>
      <w:proofErr w:type="spellEnd"/>
      <w:r w:rsidRPr="00594919">
        <w:rPr>
          <w:rStyle w:val="a6"/>
          <w:i w:val="0"/>
          <w:sz w:val="28"/>
          <w:szCs w:val="28"/>
        </w:rPr>
        <w:t>.</w:t>
      </w:r>
      <w:r w:rsidRPr="00594919">
        <w:rPr>
          <w:sz w:val="28"/>
          <w:szCs w:val="28"/>
          <w:lang w:val="uk-UA"/>
        </w:rPr>
        <w:t xml:space="preserve"> </w:t>
      </w:r>
    </w:p>
    <w:p w:rsidR="00A40002" w:rsidRDefault="00A40002" w:rsidP="00A4000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94919">
        <w:rPr>
          <w:sz w:val="28"/>
          <w:szCs w:val="28"/>
        </w:rPr>
        <w:t>Фінансовим</w:t>
      </w:r>
      <w:proofErr w:type="spellEnd"/>
      <w:r w:rsidRPr="00594919">
        <w:rPr>
          <w:sz w:val="28"/>
          <w:szCs w:val="28"/>
        </w:rPr>
        <w:t xml:space="preserve"> результатом </w:t>
      </w:r>
      <w:proofErr w:type="spellStart"/>
      <w:r w:rsidRPr="00594919">
        <w:rPr>
          <w:sz w:val="28"/>
          <w:szCs w:val="28"/>
        </w:rPr>
        <w:t>господарської</w:t>
      </w:r>
      <w:proofErr w:type="spellEnd"/>
      <w:r w:rsidRPr="00594919">
        <w:rPr>
          <w:sz w:val="28"/>
          <w:szCs w:val="28"/>
        </w:rPr>
        <w:t xml:space="preserve"> </w:t>
      </w:r>
      <w:proofErr w:type="spellStart"/>
      <w:r w:rsidRPr="00594919">
        <w:rPr>
          <w:sz w:val="28"/>
          <w:szCs w:val="28"/>
        </w:rPr>
        <w:t>діяльності</w:t>
      </w:r>
      <w:proofErr w:type="spellEnd"/>
      <w:r w:rsidRPr="00594919">
        <w:rPr>
          <w:sz w:val="28"/>
          <w:szCs w:val="28"/>
        </w:rPr>
        <w:t xml:space="preserve"> </w:t>
      </w:r>
      <w:proofErr w:type="spellStart"/>
      <w:proofErr w:type="gramStart"/>
      <w:r w:rsidRPr="00594919">
        <w:rPr>
          <w:sz w:val="28"/>
          <w:szCs w:val="28"/>
        </w:rPr>
        <w:t>п</w:t>
      </w:r>
      <w:proofErr w:type="gramEnd"/>
      <w:r w:rsidRPr="00594919">
        <w:rPr>
          <w:sz w:val="28"/>
          <w:szCs w:val="28"/>
        </w:rPr>
        <w:t>ідприємства</w:t>
      </w:r>
      <w:proofErr w:type="spellEnd"/>
      <w:r w:rsidR="004A48E3">
        <w:rPr>
          <w:sz w:val="28"/>
          <w:szCs w:val="28"/>
          <w:lang w:val="uk-UA"/>
        </w:rPr>
        <w:t xml:space="preserve"> за 201</w:t>
      </w:r>
      <w:r w:rsidR="002D6F55">
        <w:rPr>
          <w:sz w:val="28"/>
          <w:szCs w:val="28"/>
          <w:lang w:val="uk-UA"/>
        </w:rPr>
        <w:t>9</w:t>
      </w:r>
      <w:r w:rsidR="004A48E3">
        <w:rPr>
          <w:sz w:val="28"/>
          <w:szCs w:val="28"/>
          <w:lang w:val="uk-UA"/>
        </w:rPr>
        <w:t xml:space="preserve"> рік</w:t>
      </w:r>
      <w:r w:rsidRPr="00594919">
        <w:rPr>
          <w:sz w:val="28"/>
          <w:szCs w:val="28"/>
        </w:rPr>
        <w:t xml:space="preserve"> став </w:t>
      </w:r>
      <w:proofErr w:type="spellStart"/>
      <w:r w:rsidRPr="00594919">
        <w:rPr>
          <w:sz w:val="28"/>
          <w:szCs w:val="28"/>
        </w:rPr>
        <w:t>збиток</w:t>
      </w:r>
      <w:proofErr w:type="spellEnd"/>
      <w:r w:rsidRPr="00594919">
        <w:rPr>
          <w:sz w:val="28"/>
          <w:szCs w:val="28"/>
        </w:rPr>
        <w:t xml:space="preserve"> у </w:t>
      </w:r>
      <w:proofErr w:type="spellStart"/>
      <w:r w:rsidRPr="00594919">
        <w:rPr>
          <w:sz w:val="28"/>
          <w:szCs w:val="28"/>
        </w:rPr>
        <w:t>сумі</w:t>
      </w:r>
      <w:proofErr w:type="spellEnd"/>
      <w:r w:rsidRPr="00594919">
        <w:rPr>
          <w:sz w:val="28"/>
          <w:szCs w:val="28"/>
        </w:rPr>
        <w:t xml:space="preserve"> </w:t>
      </w:r>
      <w:r w:rsidR="002D6F55">
        <w:rPr>
          <w:sz w:val="28"/>
          <w:szCs w:val="28"/>
          <w:lang w:val="uk-UA"/>
        </w:rPr>
        <w:t>234</w:t>
      </w:r>
      <w:r w:rsidRPr="00594919">
        <w:rPr>
          <w:sz w:val="28"/>
          <w:szCs w:val="28"/>
        </w:rPr>
        <w:t xml:space="preserve"> тис. </w:t>
      </w:r>
      <w:proofErr w:type="spellStart"/>
      <w:r w:rsidRPr="00594919">
        <w:rPr>
          <w:sz w:val="28"/>
          <w:szCs w:val="28"/>
        </w:rPr>
        <w:t>грн</w:t>
      </w:r>
      <w:proofErr w:type="spellEnd"/>
      <w:r w:rsidRPr="0059491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40002" w:rsidRPr="00FD3713" w:rsidRDefault="00A40002" w:rsidP="00FD3713">
      <w:pPr>
        <w:ind w:firstLine="708"/>
        <w:jc w:val="both"/>
        <w:rPr>
          <w:iCs/>
          <w:color w:val="80808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 доходів </w:t>
      </w:r>
      <w:proofErr w:type="spellStart"/>
      <w:r w:rsidR="009F540B">
        <w:rPr>
          <w:sz w:val="28"/>
          <w:szCs w:val="28"/>
          <w:lang w:val="uk-UA"/>
        </w:rPr>
        <w:t>КП</w:t>
      </w:r>
      <w:proofErr w:type="spellEnd"/>
      <w:r w:rsidR="009F540B">
        <w:rPr>
          <w:sz w:val="28"/>
          <w:szCs w:val="28"/>
          <w:lang w:val="uk-UA"/>
        </w:rPr>
        <w:t xml:space="preserve"> «Фастівський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ККП</w:t>
      </w:r>
      <w:proofErr w:type="spellEnd"/>
      <w:r w:rsidR="009F54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кількісному вираженні подана в табл. 2.</w:t>
      </w:r>
      <w:r w:rsidRPr="00594919">
        <w:rPr>
          <w:sz w:val="28"/>
          <w:szCs w:val="28"/>
        </w:rPr>
        <w:t xml:space="preserve"> </w:t>
      </w:r>
    </w:p>
    <w:p w:rsidR="00A40002" w:rsidRPr="00A50A2E" w:rsidRDefault="00A40002" w:rsidP="00A40002">
      <w:pPr>
        <w:jc w:val="right"/>
        <w:rPr>
          <w:b/>
        </w:rPr>
      </w:pPr>
      <w:proofErr w:type="spellStart"/>
      <w:r>
        <w:rPr>
          <w:b/>
        </w:rPr>
        <w:t>Таблиця</w:t>
      </w:r>
      <w:proofErr w:type="spellEnd"/>
      <w:r>
        <w:rPr>
          <w:b/>
        </w:rPr>
        <w:t xml:space="preserve"> 2</w:t>
      </w:r>
    </w:p>
    <w:p w:rsidR="00A40002" w:rsidRPr="0093666F" w:rsidRDefault="00A40002" w:rsidP="00A40002">
      <w:pPr>
        <w:jc w:val="center"/>
        <w:rPr>
          <w:b/>
          <w:lang w:val="en-US"/>
        </w:rPr>
      </w:pPr>
      <w:r w:rsidRPr="00D97A46">
        <w:rPr>
          <w:b/>
          <w:lang w:val="uk-UA"/>
        </w:rPr>
        <w:t>Обсяги виробництва</w:t>
      </w:r>
    </w:p>
    <w:p w:rsidR="0023153C" w:rsidRPr="00A50A2E" w:rsidRDefault="0023153C" w:rsidP="00A40002">
      <w:pPr>
        <w:jc w:val="center"/>
        <w:rPr>
          <w:b/>
          <w:vertAlign w:val="superscript"/>
          <w:lang w:val="uk-UA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865"/>
        <w:gridCol w:w="994"/>
        <w:gridCol w:w="1145"/>
        <w:gridCol w:w="994"/>
        <w:gridCol w:w="1740"/>
        <w:gridCol w:w="1708"/>
      </w:tblGrid>
      <w:tr w:rsidR="00A40002" w:rsidRPr="00AA0B03" w:rsidTr="000A1E19">
        <w:tc>
          <w:tcPr>
            <w:tcW w:w="1178" w:type="pct"/>
            <w:vMerge w:val="restar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Види послуг</w:t>
            </w:r>
          </w:p>
        </w:tc>
        <w:tc>
          <w:tcPr>
            <w:tcW w:w="444" w:type="pct"/>
            <w:vMerge w:val="restart"/>
            <w:vAlign w:val="center"/>
          </w:tcPr>
          <w:p w:rsidR="00A40002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Факт</w:t>
            </w:r>
          </w:p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0B03">
              <w:rPr>
                <w:b/>
                <w:sz w:val="16"/>
                <w:szCs w:val="16"/>
                <w:lang w:val="uk-UA"/>
              </w:rPr>
              <w:t>за минулий рік</w:t>
            </w:r>
          </w:p>
        </w:tc>
        <w:tc>
          <w:tcPr>
            <w:tcW w:w="510" w:type="pct"/>
            <w:vMerge w:val="restar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0B03">
              <w:rPr>
                <w:b/>
                <w:sz w:val="16"/>
                <w:szCs w:val="16"/>
                <w:lang w:val="uk-UA"/>
              </w:rPr>
              <w:t>Планові показники поточного року</w:t>
            </w:r>
          </w:p>
        </w:tc>
        <w:tc>
          <w:tcPr>
            <w:tcW w:w="588" w:type="pct"/>
            <w:vMerge w:val="restar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A0B03">
              <w:rPr>
                <w:b/>
                <w:sz w:val="16"/>
                <w:szCs w:val="16"/>
                <w:lang w:val="uk-UA"/>
              </w:rPr>
              <w:t>Довідково</w:t>
            </w:r>
            <w:proofErr w:type="spellEnd"/>
            <w:r w:rsidRPr="00AA0B03">
              <w:rPr>
                <w:b/>
                <w:sz w:val="16"/>
                <w:szCs w:val="16"/>
                <w:lang w:val="uk-UA"/>
              </w:rPr>
              <w:t>: фактичне виконання за 1 квартал поточного року</w:t>
            </w:r>
          </w:p>
        </w:tc>
        <w:tc>
          <w:tcPr>
            <w:tcW w:w="510" w:type="pct"/>
            <w:vMerge w:val="restar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0B03">
              <w:rPr>
                <w:b/>
                <w:sz w:val="16"/>
                <w:szCs w:val="16"/>
                <w:lang w:val="uk-UA"/>
              </w:rPr>
              <w:t>Планові показники на наступний рік</w:t>
            </w:r>
          </w:p>
        </w:tc>
        <w:tc>
          <w:tcPr>
            <w:tcW w:w="893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A0B03">
              <w:rPr>
                <w:b/>
                <w:sz w:val="14"/>
                <w:szCs w:val="14"/>
                <w:lang w:val="uk-UA"/>
              </w:rPr>
              <w:t>Порівняння планових показників на наступний рік з фактичним виконанням минулого року</w:t>
            </w:r>
          </w:p>
        </w:tc>
        <w:tc>
          <w:tcPr>
            <w:tcW w:w="877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A0B03">
              <w:rPr>
                <w:b/>
                <w:sz w:val="14"/>
                <w:szCs w:val="14"/>
                <w:lang w:val="uk-UA"/>
              </w:rPr>
              <w:t>Порівняння планових показників на наступний рік з плановими показниками поточного року</w:t>
            </w:r>
          </w:p>
        </w:tc>
      </w:tr>
      <w:tr w:rsidR="00A40002" w:rsidRPr="00AA0B03" w:rsidTr="000A1E19">
        <w:tc>
          <w:tcPr>
            <w:tcW w:w="1178" w:type="pct"/>
            <w:vMerge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4" w:type="pct"/>
            <w:vMerge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pct"/>
            <w:vMerge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" w:type="pct"/>
            <w:vMerge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3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0B03">
              <w:rPr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877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0B03">
              <w:rPr>
                <w:b/>
                <w:sz w:val="16"/>
                <w:szCs w:val="16"/>
                <w:lang w:val="uk-UA"/>
              </w:rPr>
              <w:t>%</w:t>
            </w:r>
          </w:p>
        </w:tc>
      </w:tr>
      <w:tr w:rsidR="00A40002" w:rsidRPr="00AA0B03" w:rsidTr="000A1E19">
        <w:tc>
          <w:tcPr>
            <w:tcW w:w="1178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444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510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588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510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893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877" w:type="pct"/>
            <w:vAlign w:val="center"/>
          </w:tcPr>
          <w:p w:rsidR="00A40002" w:rsidRPr="00AA0B03" w:rsidRDefault="00A40002" w:rsidP="0055766B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</w:tr>
      <w:tr w:rsidR="00A40002" w:rsidRPr="00AA0B03" w:rsidTr="000A1E19">
        <w:tc>
          <w:tcPr>
            <w:tcW w:w="1178" w:type="pct"/>
          </w:tcPr>
          <w:p w:rsidR="00A40002" w:rsidRDefault="00A40002" w:rsidP="0055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Комунальні послуги </w:t>
            </w:r>
          </w:p>
          <w:p w:rsidR="00A40002" w:rsidRPr="004D4507" w:rsidRDefault="00A40002" w:rsidP="0055766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4D4507">
              <w:rPr>
                <w:lang w:val="uk-UA"/>
              </w:rPr>
              <w:t>захоро</w:t>
            </w:r>
            <w:r>
              <w:rPr>
                <w:lang w:val="uk-UA"/>
              </w:rPr>
              <w:t>нення</w:t>
            </w:r>
            <w:proofErr w:type="spellEnd"/>
            <w:r>
              <w:rPr>
                <w:lang w:val="uk-UA"/>
              </w:rPr>
              <w:t xml:space="preserve"> ТПВ</w:t>
            </w:r>
          </w:p>
        </w:tc>
        <w:tc>
          <w:tcPr>
            <w:tcW w:w="444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D97A46" w:rsidP="00FE38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35865</w:t>
            </w:r>
          </w:p>
        </w:tc>
        <w:tc>
          <w:tcPr>
            <w:tcW w:w="510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D97A46" w:rsidP="0055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67000</w:t>
            </w:r>
          </w:p>
        </w:tc>
        <w:tc>
          <w:tcPr>
            <w:tcW w:w="588" w:type="pct"/>
          </w:tcPr>
          <w:p w:rsidR="00A40002" w:rsidRPr="00915A02" w:rsidRDefault="00A40002" w:rsidP="0055766B">
            <w:pPr>
              <w:jc w:val="center"/>
              <w:rPr>
                <w:b/>
                <w:lang w:val="uk-UA"/>
              </w:rPr>
            </w:pPr>
          </w:p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EC6CB6" w:rsidRDefault="00D97A46" w:rsidP="0055766B">
            <w:pPr>
              <w:jc w:val="center"/>
              <w:rPr>
                <w:sz w:val="22"/>
                <w:szCs w:val="22"/>
                <w:lang w:val="uk-UA"/>
              </w:rPr>
            </w:pPr>
            <w:r w:rsidRPr="00EC6CB6">
              <w:rPr>
                <w:sz w:val="22"/>
                <w:szCs w:val="22"/>
                <w:lang w:val="uk-UA"/>
              </w:rPr>
              <w:t>19955</w:t>
            </w:r>
          </w:p>
        </w:tc>
        <w:tc>
          <w:tcPr>
            <w:tcW w:w="510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091137" w:rsidP="00FE38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78000</w:t>
            </w:r>
          </w:p>
        </w:tc>
        <w:tc>
          <w:tcPr>
            <w:tcW w:w="893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FE3863" w:rsidRDefault="006370EF" w:rsidP="00FE3863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106</w:t>
            </w:r>
          </w:p>
        </w:tc>
        <w:tc>
          <w:tcPr>
            <w:tcW w:w="877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A40002" w:rsidRPr="00915A02" w:rsidRDefault="00A40002" w:rsidP="0055766B">
            <w:pPr>
              <w:jc w:val="center"/>
              <w:rPr>
                <w:lang w:val="uk-UA"/>
              </w:rPr>
            </w:pPr>
          </w:p>
          <w:p w:rsidR="00693AEF" w:rsidRPr="00915A02" w:rsidRDefault="00693AEF" w:rsidP="00FE3863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10</w:t>
            </w:r>
            <w:r w:rsidR="00D03FA1" w:rsidRPr="00915A02">
              <w:rPr>
                <w:lang w:val="uk-UA"/>
              </w:rPr>
              <w:t>9</w:t>
            </w:r>
          </w:p>
        </w:tc>
      </w:tr>
      <w:tr w:rsidR="00A40002" w:rsidRPr="00AA0B03" w:rsidTr="000A1E19">
        <w:tc>
          <w:tcPr>
            <w:tcW w:w="1178" w:type="pct"/>
          </w:tcPr>
          <w:p w:rsidR="00A40002" w:rsidRPr="004D4507" w:rsidRDefault="00A40002" w:rsidP="0055766B">
            <w:pPr>
              <w:jc w:val="both"/>
              <w:rPr>
                <w:lang w:val="uk-UA"/>
              </w:rPr>
            </w:pPr>
            <w:r w:rsidRPr="004D4507">
              <w:rPr>
                <w:lang w:val="uk-UA"/>
              </w:rPr>
              <w:t>Ритуальні послуги</w:t>
            </w:r>
          </w:p>
        </w:tc>
        <w:tc>
          <w:tcPr>
            <w:tcW w:w="444" w:type="pct"/>
          </w:tcPr>
          <w:p w:rsidR="00A40002" w:rsidRPr="00915A02" w:rsidRDefault="00D97A46" w:rsidP="0055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510" w:type="pct"/>
          </w:tcPr>
          <w:p w:rsidR="00A40002" w:rsidRPr="00915A02" w:rsidRDefault="009F540B" w:rsidP="0055766B">
            <w:pPr>
              <w:ind w:hanging="108"/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631</w:t>
            </w:r>
          </w:p>
        </w:tc>
        <w:tc>
          <w:tcPr>
            <w:tcW w:w="588" w:type="pct"/>
          </w:tcPr>
          <w:p w:rsidR="00A40002" w:rsidRPr="00915A02" w:rsidRDefault="00B93006" w:rsidP="0055766B">
            <w:pPr>
              <w:ind w:hanging="108"/>
              <w:jc w:val="center"/>
              <w:rPr>
                <w:lang w:val="en-US"/>
              </w:rPr>
            </w:pPr>
            <w:r w:rsidRPr="00915A02">
              <w:rPr>
                <w:lang w:val="en-US"/>
              </w:rPr>
              <w:t>463</w:t>
            </w:r>
          </w:p>
        </w:tc>
        <w:tc>
          <w:tcPr>
            <w:tcW w:w="510" w:type="pct"/>
          </w:tcPr>
          <w:p w:rsidR="00A40002" w:rsidRPr="00915A02" w:rsidRDefault="00A26359" w:rsidP="0055766B">
            <w:pPr>
              <w:ind w:hanging="108"/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1520</w:t>
            </w:r>
          </w:p>
        </w:tc>
        <w:tc>
          <w:tcPr>
            <w:tcW w:w="893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1</w:t>
            </w:r>
            <w:r w:rsidR="00AA699C" w:rsidRPr="00915A02">
              <w:rPr>
                <w:lang w:val="uk-UA"/>
              </w:rPr>
              <w:t>30</w:t>
            </w:r>
          </w:p>
        </w:tc>
        <w:tc>
          <w:tcPr>
            <w:tcW w:w="877" w:type="pct"/>
          </w:tcPr>
          <w:p w:rsidR="00D03FA1" w:rsidRPr="00915A02" w:rsidRDefault="00AA699C" w:rsidP="00D03FA1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241</w:t>
            </w:r>
          </w:p>
        </w:tc>
      </w:tr>
      <w:tr w:rsidR="00A40002" w:rsidRPr="00AA0B03" w:rsidTr="000A1E19">
        <w:tc>
          <w:tcPr>
            <w:tcW w:w="1178" w:type="pct"/>
          </w:tcPr>
          <w:p w:rsidR="00A40002" w:rsidRPr="00591464" w:rsidRDefault="00D97A46" w:rsidP="005576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  <w:tc>
          <w:tcPr>
            <w:tcW w:w="444" w:type="pct"/>
          </w:tcPr>
          <w:p w:rsidR="00A40002" w:rsidRPr="00915A02" w:rsidRDefault="00D97A46" w:rsidP="005576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510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5</w:t>
            </w:r>
            <w:r w:rsidR="009B0E82" w:rsidRPr="00915A02">
              <w:rPr>
                <w:lang w:val="uk-UA"/>
              </w:rPr>
              <w:t>485</w:t>
            </w:r>
          </w:p>
        </w:tc>
        <w:tc>
          <w:tcPr>
            <w:tcW w:w="588" w:type="pct"/>
          </w:tcPr>
          <w:p w:rsidR="00A40002" w:rsidRPr="00915A02" w:rsidRDefault="00D97A46" w:rsidP="00D97A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510" w:type="pct"/>
          </w:tcPr>
          <w:p w:rsidR="00A40002" w:rsidRPr="00915A02" w:rsidRDefault="00A40002" w:rsidP="0055766B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5</w:t>
            </w:r>
            <w:r w:rsidR="002F2FEE" w:rsidRPr="00915A02">
              <w:rPr>
                <w:lang w:val="uk-UA"/>
              </w:rPr>
              <w:t>485</w:t>
            </w:r>
          </w:p>
        </w:tc>
        <w:tc>
          <w:tcPr>
            <w:tcW w:w="893" w:type="pct"/>
          </w:tcPr>
          <w:p w:rsidR="00A40002" w:rsidRPr="00915A02" w:rsidRDefault="00AA699C" w:rsidP="0055766B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145</w:t>
            </w:r>
          </w:p>
        </w:tc>
        <w:tc>
          <w:tcPr>
            <w:tcW w:w="877" w:type="pct"/>
          </w:tcPr>
          <w:p w:rsidR="00A40002" w:rsidRPr="00915A02" w:rsidRDefault="00693AEF" w:rsidP="0055766B">
            <w:pPr>
              <w:jc w:val="center"/>
              <w:rPr>
                <w:lang w:val="uk-UA"/>
              </w:rPr>
            </w:pPr>
            <w:r w:rsidRPr="00915A02">
              <w:rPr>
                <w:lang w:val="uk-UA"/>
              </w:rPr>
              <w:t>100</w:t>
            </w:r>
          </w:p>
        </w:tc>
      </w:tr>
    </w:tbl>
    <w:p w:rsidR="00A40002" w:rsidRDefault="00A40002" w:rsidP="00A400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A02" w:rsidRDefault="00DC6258" w:rsidP="00A400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</w:t>
      </w:r>
      <w:r w:rsidR="00633A12" w:rsidRPr="00633A12">
        <w:rPr>
          <w:rFonts w:ascii="Times New Roman" w:hAnsi="Times New Roman"/>
          <w:sz w:val="28"/>
          <w:szCs w:val="28"/>
          <w:lang w:val="uk-UA"/>
        </w:rPr>
        <w:t>2</w:t>
      </w:r>
      <w:r w:rsidR="0093666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A40002">
        <w:rPr>
          <w:rFonts w:ascii="Times New Roman" w:hAnsi="Times New Roman"/>
          <w:sz w:val="28"/>
          <w:szCs w:val="28"/>
          <w:lang w:val="uk-UA"/>
        </w:rPr>
        <w:t xml:space="preserve"> планується збільшити обсяги надання послуг у сфері </w:t>
      </w:r>
      <w:r w:rsidR="00A40002" w:rsidRPr="001329D2">
        <w:rPr>
          <w:rFonts w:ascii="Times New Roman" w:hAnsi="Times New Roman"/>
          <w:b/>
          <w:sz w:val="28"/>
          <w:szCs w:val="28"/>
          <w:lang w:val="uk-UA"/>
        </w:rPr>
        <w:t>поводження з відходами</w:t>
      </w:r>
      <w:r w:rsidR="00633A1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633A12" w:rsidRPr="00633A12">
        <w:rPr>
          <w:rFonts w:ascii="Times New Roman" w:hAnsi="Times New Roman"/>
          <w:bCs/>
          <w:sz w:val="28"/>
          <w:szCs w:val="28"/>
          <w:lang w:val="uk-UA"/>
        </w:rPr>
        <w:t>а саме: послуг із розміщення відходів на полігоні,</w:t>
      </w:r>
      <w:r w:rsidR="00A40002">
        <w:rPr>
          <w:rFonts w:ascii="Times New Roman" w:hAnsi="Times New Roman"/>
          <w:sz w:val="28"/>
          <w:szCs w:val="28"/>
          <w:lang w:val="uk-UA"/>
        </w:rPr>
        <w:t xml:space="preserve"> за рахунок очікуваного збільшення абонентів приватного сектору, сектору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багатоповерхової</w:t>
      </w:r>
      <w:r w:rsidR="00A40002">
        <w:rPr>
          <w:rFonts w:ascii="Times New Roman" w:hAnsi="Times New Roman"/>
          <w:sz w:val="28"/>
          <w:szCs w:val="28"/>
          <w:lang w:val="uk-UA"/>
        </w:rPr>
        <w:t xml:space="preserve"> забудови (створення ОСББ) та приватного бізнесу.</w:t>
      </w:r>
      <w:r w:rsidR="004A48E3">
        <w:rPr>
          <w:rFonts w:ascii="Times New Roman" w:hAnsi="Times New Roman"/>
          <w:sz w:val="28"/>
          <w:szCs w:val="28"/>
          <w:lang w:val="uk-UA"/>
        </w:rPr>
        <w:t xml:space="preserve"> Послуги з вивезення побітових відходів не включені до фінансового плану в </w:t>
      </w:r>
      <w:r w:rsidR="00915A02">
        <w:rPr>
          <w:rFonts w:ascii="Times New Roman" w:hAnsi="Times New Roman"/>
          <w:sz w:val="28"/>
          <w:szCs w:val="28"/>
          <w:lang w:val="uk-UA"/>
        </w:rPr>
        <w:t>зв’язку</w:t>
      </w:r>
      <w:r w:rsidR="004A48E3">
        <w:rPr>
          <w:rFonts w:ascii="Times New Roman" w:hAnsi="Times New Roman"/>
          <w:sz w:val="28"/>
          <w:szCs w:val="28"/>
          <w:lang w:val="uk-UA"/>
        </w:rPr>
        <w:t xml:space="preserve"> із закінч</w:t>
      </w:r>
      <w:r w:rsidR="00915A02">
        <w:rPr>
          <w:rFonts w:ascii="Times New Roman" w:hAnsi="Times New Roman"/>
          <w:sz w:val="28"/>
          <w:szCs w:val="28"/>
          <w:lang w:val="uk-UA"/>
        </w:rPr>
        <w:t>енням договору на вивезення побу</w:t>
      </w:r>
      <w:r w:rsidR="004A48E3">
        <w:rPr>
          <w:rFonts w:ascii="Times New Roman" w:hAnsi="Times New Roman"/>
          <w:sz w:val="28"/>
          <w:szCs w:val="28"/>
          <w:lang w:val="uk-UA"/>
        </w:rPr>
        <w:t>тових відходів на території міста Фастова.</w:t>
      </w:r>
      <w:r w:rsidR="00A400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5A02" w:rsidRDefault="00A40002" w:rsidP="00A400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Підприємству вдалося в 201</w:t>
      </w:r>
      <w:r w:rsidR="0093666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році збільшити обсяги надання </w:t>
      </w:r>
      <w:r w:rsidRPr="00621AC1">
        <w:rPr>
          <w:rFonts w:ascii="Times New Roman" w:hAnsi="Times New Roman"/>
          <w:b/>
          <w:sz w:val="28"/>
          <w:szCs w:val="28"/>
          <w:lang w:val="uk-UA"/>
        </w:rPr>
        <w:t>ритуальних послуг</w:t>
      </w:r>
      <w:r>
        <w:rPr>
          <w:rFonts w:ascii="Times New Roman" w:hAnsi="Times New Roman"/>
          <w:sz w:val="28"/>
          <w:szCs w:val="28"/>
          <w:lang w:val="uk-UA"/>
        </w:rPr>
        <w:t>, тож в 20</w:t>
      </w:r>
      <w:r w:rsidR="00B93006" w:rsidRPr="004A48E3">
        <w:rPr>
          <w:rFonts w:ascii="Times New Roman" w:hAnsi="Times New Roman"/>
          <w:sz w:val="28"/>
          <w:szCs w:val="28"/>
          <w:lang w:val="uk-UA"/>
        </w:rPr>
        <w:t>2</w:t>
      </w:r>
      <w:r w:rsidR="0093666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році плануємо покращити результат </w:t>
      </w:r>
      <w:r w:rsidR="00DC6258">
        <w:rPr>
          <w:rFonts w:ascii="Times New Roman" w:hAnsi="Times New Roman"/>
          <w:sz w:val="28"/>
          <w:szCs w:val="28"/>
          <w:lang w:val="uk-UA"/>
        </w:rPr>
        <w:t>за рахунок розширення асортименту продукції та якості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5A0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40002" w:rsidRDefault="00633A12" w:rsidP="00A400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Кількісний показник послуг міської лазні на 202</w:t>
      </w:r>
      <w:r w:rsidR="0093666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залишено на рівні планового показника 20</w:t>
      </w:r>
      <w:r w:rsidR="0093666F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D2A4B">
        <w:rPr>
          <w:rFonts w:ascii="Times New Roman" w:hAnsi="Times New Roman"/>
          <w:sz w:val="28"/>
          <w:szCs w:val="28"/>
          <w:lang w:val="uk-UA"/>
        </w:rPr>
        <w:t>.</w:t>
      </w:r>
    </w:p>
    <w:p w:rsidR="00A40002" w:rsidRDefault="00A40002" w:rsidP="00A400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сьогоднішній день підприємство має у судах загальної юрисдикції  8 справ майнового характеру: </w:t>
      </w:r>
    </w:p>
    <w:p w:rsidR="00A40002" w:rsidRDefault="00A40002" w:rsidP="00A4000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24.05.2017 р. Фастівський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звернувся до Господарського суду  м. Києва з позовною заявою до ТОВ «Імперія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Дистриб'юції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 стягнення сплаченої за товар грошової суми, неустойки та штрафу за поставку продукції (товару) неналежної якості. Ціна позову 188883,01 </w:t>
      </w:r>
      <w:r w:rsidR="00915A02">
        <w:rPr>
          <w:rFonts w:ascii="Times New Roman" w:hAnsi="Times New Roman"/>
          <w:sz w:val="28"/>
          <w:szCs w:val="28"/>
          <w:lang w:val="uk-UA"/>
        </w:rPr>
        <w:t>грн.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0002" w:rsidRDefault="00A40002" w:rsidP="00A40002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24.05.2017 р. Фастівський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звернувся до Господарського суду  м. Києва з позовною заявою до 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 стягнення штрафу по договору № 5 від 13.09.2016 р. на поточний ремонт асфальтобетонного покриття дороги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Буцикова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м. Фастів. Ціна позову 186000,00 грн. </w:t>
      </w:r>
      <w:r w:rsidR="009F1060">
        <w:rPr>
          <w:rFonts w:ascii="Times New Roman" w:hAnsi="Times New Roman"/>
          <w:sz w:val="28"/>
          <w:szCs w:val="28"/>
          <w:lang w:val="uk-UA"/>
        </w:rPr>
        <w:t>Суд задовольнив позов та видав наказ про  примусове виконання рішення. Документи передано в Подільський районний відділ державної виконавчої служби міста Київ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0002" w:rsidRDefault="00A40002" w:rsidP="00A40002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24.05.2017 р. Фастівський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звернувся до Господарського суду  м. Києва з позовною заявою до 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про стягнення штрафу по договору № 9 від 13.09.2016 р. на поточний ремонт асфальтобетонного покриття</w:t>
      </w:r>
      <w:r w:rsidR="009F1060">
        <w:rPr>
          <w:rFonts w:ascii="Times New Roman" w:hAnsi="Times New Roman"/>
          <w:sz w:val="28"/>
          <w:szCs w:val="28"/>
          <w:lang w:val="uk-UA"/>
        </w:rPr>
        <w:t xml:space="preserve"> дороги по вул. С. Петлюри у м. </w:t>
      </w:r>
      <w:r>
        <w:rPr>
          <w:rFonts w:ascii="Times New Roman" w:hAnsi="Times New Roman"/>
          <w:sz w:val="28"/>
          <w:szCs w:val="28"/>
          <w:lang w:val="uk-UA"/>
        </w:rPr>
        <w:t xml:space="preserve">Фастів. Ціна позову 279000,00 грн. </w:t>
      </w:r>
      <w:r w:rsidR="0031797D">
        <w:rPr>
          <w:rFonts w:ascii="Times New Roman" w:hAnsi="Times New Roman"/>
          <w:sz w:val="28"/>
          <w:szCs w:val="28"/>
          <w:lang w:val="uk-UA"/>
        </w:rPr>
        <w:t>ТОВ «БТК «</w:t>
      </w:r>
      <w:proofErr w:type="spellStart"/>
      <w:r w:rsidR="0031797D"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 w:rsidR="0031797D">
        <w:rPr>
          <w:rFonts w:ascii="Times New Roman" w:hAnsi="Times New Roman"/>
          <w:sz w:val="28"/>
          <w:szCs w:val="28"/>
          <w:lang w:val="uk-UA"/>
        </w:rPr>
        <w:t>»</w:t>
      </w:r>
      <w:r w:rsidR="00810B8F">
        <w:rPr>
          <w:rFonts w:ascii="Times New Roman" w:hAnsi="Times New Roman"/>
          <w:sz w:val="28"/>
          <w:szCs w:val="28"/>
          <w:lang w:val="uk-UA"/>
        </w:rPr>
        <w:t xml:space="preserve"> подано апеляційну скаргу в Київський апеляційний </w:t>
      </w:r>
      <w:r w:rsidR="0031797D">
        <w:rPr>
          <w:rFonts w:ascii="Times New Roman" w:hAnsi="Times New Roman"/>
          <w:sz w:val="28"/>
          <w:szCs w:val="28"/>
          <w:lang w:val="uk-UA"/>
        </w:rPr>
        <w:t>господарський</w:t>
      </w:r>
      <w:r w:rsidR="00810B8F">
        <w:rPr>
          <w:rFonts w:ascii="Times New Roman" w:hAnsi="Times New Roman"/>
          <w:sz w:val="28"/>
          <w:szCs w:val="28"/>
          <w:lang w:val="uk-UA"/>
        </w:rPr>
        <w:t xml:space="preserve"> суд</w:t>
      </w:r>
      <w:r w:rsidR="0031797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0002" w:rsidRDefault="00A40002" w:rsidP="00A40002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24.05.2017 р. Фастівський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звернувся до Господарського суду  м. Києва з позовною заявою до 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про стягнення штрафу по договору № 7 від 13.09.2016 р. на поточний ремонт асфальтобетонного покриття дороги по вул. Г. України у м. Фастів. Ціна позову 159340,00 грн.</w:t>
      </w:r>
      <w:r w:rsidR="00810B8F">
        <w:rPr>
          <w:rFonts w:ascii="Times New Roman" w:hAnsi="Times New Roman"/>
          <w:sz w:val="28"/>
          <w:szCs w:val="28"/>
          <w:lang w:val="uk-UA"/>
        </w:rPr>
        <w:t xml:space="preserve"> ТОВ «БТК «</w:t>
      </w:r>
      <w:proofErr w:type="spellStart"/>
      <w:r w:rsidR="00810B8F"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 w:rsidR="00810B8F">
        <w:rPr>
          <w:rFonts w:ascii="Times New Roman" w:hAnsi="Times New Roman"/>
          <w:sz w:val="28"/>
          <w:szCs w:val="28"/>
          <w:lang w:val="uk-UA"/>
        </w:rPr>
        <w:t>» подано апеляційну скаргу в Київський апеляційний господарський суд. 26.02.2018 р. в задоволені апеляційної скарги відмовлено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0002" w:rsidRDefault="00A40002" w:rsidP="00A40002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24.05.2017 р. Фастівський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звернувся до Господарського суду  м. Києва з позовною заявою до 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про стягнення штрафу по договору № 11 від 13.09.2016 р. на поточний ремонт асфальтобетонного покриття дороги по вул. Ю. Гагаріна  у м. Фастів. Ціна позову 232500,00 грн.</w:t>
      </w:r>
      <w:r w:rsidR="00810B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B8F">
        <w:rPr>
          <w:rFonts w:ascii="Times New Roman" w:hAnsi="Times New Roman"/>
          <w:sz w:val="28"/>
          <w:szCs w:val="28"/>
          <w:lang w:val="uk-UA"/>
        </w:rPr>
        <w:t>ТОВ «БТК «</w:t>
      </w:r>
      <w:proofErr w:type="spellStart"/>
      <w:r w:rsidR="00810B8F"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 w:rsidR="00810B8F">
        <w:rPr>
          <w:rFonts w:ascii="Times New Roman" w:hAnsi="Times New Roman"/>
          <w:sz w:val="28"/>
          <w:szCs w:val="28"/>
          <w:lang w:val="uk-UA"/>
        </w:rPr>
        <w:t xml:space="preserve">» подано апеляційну скаргу в Київський апеляційний господарський суд. 16.05.2018 р. позовні вимоги задоволені частково. На користь Фастівського </w:t>
      </w:r>
      <w:proofErr w:type="spellStart"/>
      <w:r w:rsidR="00810B8F">
        <w:rPr>
          <w:rFonts w:ascii="Times New Roman" w:hAnsi="Times New Roman"/>
          <w:sz w:val="28"/>
          <w:szCs w:val="28"/>
          <w:lang w:val="uk-UA"/>
        </w:rPr>
        <w:t>ККП</w:t>
      </w:r>
      <w:proofErr w:type="spellEnd"/>
      <w:r w:rsidR="00810B8F">
        <w:rPr>
          <w:rFonts w:ascii="Times New Roman" w:hAnsi="Times New Roman"/>
          <w:sz w:val="28"/>
          <w:szCs w:val="28"/>
          <w:lang w:val="uk-UA"/>
        </w:rPr>
        <w:t xml:space="preserve"> прийнято рішення про стягнення 7500 грн. штрафу та 1600 </w:t>
      </w:r>
      <w:proofErr w:type="spellStart"/>
      <w:r w:rsidR="00810B8F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810B8F">
        <w:rPr>
          <w:rFonts w:ascii="Times New Roman" w:hAnsi="Times New Roman"/>
          <w:sz w:val="28"/>
          <w:szCs w:val="28"/>
          <w:lang w:val="uk-UA"/>
        </w:rPr>
        <w:t xml:space="preserve"> судового збору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40002" w:rsidRDefault="00A40002" w:rsidP="00A40002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звернулося до Господарського суду Київської області про стягнення заборгованості по договору № 8 від 13.09.2016 р. на поточний ремонт асфальтобетонного покриття тротуару по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Галафєєва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м. Фастів. Ціна позову 42000,00 грн. В даний час судом призначено судово-технічну експертизу.;</w:t>
      </w:r>
    </w:p>
    <w:p w:rsidR="00A40002" w:rsidRDefault="00A40002" w:rsidP="00A40002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звернулося до Господарського суду Київської області про стягнення заборгованості по договору № 6  від 13.09.2016 р. на поточний ремонт асфальтобетонного покриття дороги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вул.Г.Танкістів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у м. Фастів. Ціна позову 44065,00 грн. В даний час судом призначено судово-технічну експертизу.;</w:t>
      </w:r>
    </w:p>
    <w:p w:rsidR="00A40002" w:rsidRPr="00DC6258" w:rsidRDefault="00A40002" w:rsidP="00DC6258">
      <w:pPr>
        <w:pStyle w:val="1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«БТК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Київбудсервіс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звернулося до Господарського суду Київської області про стягнення заборгованості по договору № 10  від 13.09.2016 р. на поточний ремонт асфальтобетонного покриття дороги по вул. Шевченка  у м. Фастів. Ціна позову 20650,00 грн. В даний час судом призначено судово-технічну експертизу.</w:t>
      </w:r>
    </w:p>
    <w:p w:rsidR="00765DDB" w:rsidRPr="00594919" w:rsidRDefault="00765DDB" w:rsidP="00765DDB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4919">
        <w:rPr>
          <w:rFonts w:ascii="Times New Roman" w:hAnsi="Times New Roman"/>
          <w:sz w:val="28"/>
          <w:szCs w:val="28"/>
          <w:lang w:val="uk-UA"/>
        </w:rPr>
        <w:t xml:space="preserve">Формування доходів </w:t>
      </w:r>
      <w:r w:rsidR="00810B8F">
        <w:rPr>
          <w:rFonts w:ascii="Times New Roman" w:hAnsi="Times New Roman"/>
          <w:sz w:val="28"/>
          <w:szCs w:val="28"/>
          <w:lang w:val="uk-UA"/>
        </w:rPr>
        <w:t>на 20</w:t>
      </w:r>
      <w:r w:rsidR="00081338">
        <w:rPr>
          <w:rFonts w:ascii="Times New Roman" w:hAnsi="Times New Roman"/>
          <w:sz w:val="28"/>
          <w:szCs w:val="28"/>
          <w:lang w:val="uk-UA"/>
        </w:rPr>
        <w:t>21</w:t>
      </w:r>
      <w:r w:rsidR="00FD3713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594919">
        <w:rPr>
          <w:rFonts w:ascii="Times New Roman" w:hAnsi="Times New Roman"/>
          <w:sz w:val="28"/>
          <w:szCs w:val="28"/>
          <w:lang w:val="uk-UA"/>
        </w:rPr>
        <w:t xml:space="preserve"> планується за рахунок реалізації :</w:t>
      </w:r>
    </w:p>
    <w:p w:rsidR="00765DDB" w:rsidRPr="00594919" w:rsidRDefault="00765DDB" w:rsidP="00765DDB">
      <w:pPr>
        <w:pStyle w:val="1"/>
        <w:spacing w:line="276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919">
        <w:rPr>
          <w:rFonts w:ascii="Times New Roman" w:hAnsi="Times New Roman"/>
          <w:sz w:val="28"/>
          <w:szCs w:val="28"/>
          <w:lang w:val="uk-UA"/>
        </w:rPr>
        <w:t>- послуг захоронення побутових відходів;</w:t>
      </w:r>
    </w:p>
    <w:p w:rsidR="00765DDB" w:rsidRPr="00594919" w:rsidRDefault="00765DDB" w:rsidP="00621AC1">
      <w:pPr>
        <w:pStyle w:val="1"/>
        <w:spacing w:line="276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919">
        <w:rPr>
          <w:rFonts w:ascii="Times New Roman" w:hAnsi="Times New Roman"/>
          <w:sz w:val="28"/>
          <w:szCs w:val="28"/>
          <w:lang w:val="uk-UA"/>
        </w:rPr>
        <w:t>-  ритуальних послуг та предметів ритуальної належності;</w:t>
      </w:r>
    </w:p>
    <w:p w:rsidR="00765DDB" w:rsidRPr="00594919" w:rsidRDefault="00765DDB" w:rsidP="00765DDB">
      <w:pPr>
        <w:pStyle w:val="1"/>
        <w:spacing w:line="276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919">
        <w:rPr>
          <w:rFonts w:ascii="Times New Roman" w:hAnsi="Times New Roman"/>
          <w:sz w:val="28"/>
          <w:szCs w:val="28"/>
          <w:lang w:val="uk-UA"/>
        </w:rPr>
        <w:t>-  побутових послуг лазні;</w:t>
      </w:r>
    </w:p>
    <w:p w:rsidR="00765DDB" w:rsidRPr="00594919" w:rsidRDefault="00765DDB" w:rsidP="005D6E0C">
      <w:pPr>
        <w:pStyle w:val="1"/>
        <w:spacing w:line="276" w:lineRule="auto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919">
        <w:rPr>
          <w:rFonts w:ascii="Times New Roman" w:hAnsi="Times New Roman"/>
          <w:sz w:val="28"/>
          <w:szCs w:val="28"/>
          <w:lang w:val="uk-UA"/>
        </w:rPr>
        <w:t>-</w:t>
      </w:r>
      <w:r w:rsidR="00915A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919">
        <w:rPr>
          <w:rFonts w:ascii="Times New Roman" w:hAnsi="Times New Roman"/>
          <w:sz w:val="28"/>
          <w:szCs w:val="28"/>
          <w:lang w:val="uk-UA"/>
        </w:rPr>
        <w:t>інших послуг (надання транспортних послуг</w:t>
      </w:r>
      <w:r w:rsidR="001D27A9">
        <w:rPr>
          <w:rFonts w:ascii="Times New Roman" w:hAnsi="Times New Roman"/>
          <w:sz w:val="28"/>
          <w:szCs w:val="28"/>
          <w:lang w:val="uk-UA"/>
        </w:rPr>
        <w:t>, реалізація відсортованих відходів</w:t>
      </w:r>
      <w:r w:rsidR="00915A02">
        <w:rPr>
          <w:rFonts w:ascii="Times New Roman" w:hAnsi="Times New Roman"/>
          <w:sz w:val="28"/>
          <w:szCs w:val="28"/>
          <w:lang w:val="uk-UA"/>
        </w:rPr>
        <w:t xml:space="preserve">, тимчасового зберігання транспортних засобів на території підприємства, плати за тимчасове користування об’єктом благоустрою </w:t>
      </w:r>
      <w:r w:rsidRPr="00594919">
        <w:rPr>
          <w:rFonts w:ascii="Times New Roman" w:hAnsi="Times New Roman"/>
          <w:sz w:val="28"/>
          <w:szCs w:val="28"/>
          <w:lang w:val="uk-UA"/>
        </w:rPr>
        <w:t xml:space="preserve"> та т. ін.)</w:t>
      </w:r>
    </w:p>
    <w:p w:rsidR="00915A02" w:rsidRDefault="00915A02" w:rsidP="009D76D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060">
        <w:rPr>
          <w:rFonts w:ascii="Times New Roman" w:hAnsi="Times New Roman"/>
          <w:sz w:val="28"/>
          <w:szCs w:val="28"/>
          <w:lang w:val="uk-UA"/>
        </w:rPr>
        <w:t>Планові доходи на 20</w:t>
      </w:r>
      <w:r w:rsidR="00081338">
        <w:rPr>
          <w:rFonts w:ascii="Times New Roman" w:hAnsi="Times New Roman"/>
          <w:sz w:val="28"/>
          <w:szCs w:val="28"/>
          <w:lang w:val="uk-UA"/>
        </w:rPr>
        <w:t>21</w:t>
      </w:r>
      <w:r w:rsidR="00765DDB" w:rsidRPr="00594919">
        <w:rPr>
          <w:rFonts w:ascii="Times New Roman" w:hAnsi="Times New Roman"/>
          <w:sz w:val="28"/>
          <w:szCs w:val="28"/>
          <w:lang w:val="uk-UA"/>
        </w:rPr>
        <w:t xml:space="preserve"> рік обраховані, виходячи із об’єм</w:t>
      </w:r>
      <w:r w:rsidR="009F1060">
        <w:rPr>
          <w:rFonts w:ascii="Times New Roman" w:hAnsi="Times New Roman"/>
          <w:sz w:val="28"/>
          <w:szCs w:val="28"/>
          <w:lang w:val="uk-UA"/>
        </w:rPr>
        <w:t>ів реалізації  у І кварталі 20</w:t>
      </w:r>
      <w:r w:rsidR="00110657">
        <w:rPr>
          <w:rFonts w:ascii="Times New Roman" w:hAnsi="Times New Roman"/>
          <w:sz w:val="28"/>
          <w:szCs w:val="28"/>
          <w:lang w:val="uk-UA"/>
        </w:rPr>
        <w:t>20</w:t>
      </w:r>
      <w:r w:rsidR="00765DDB" w:rsidRPr="005949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10B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65DDB" w:rsidRPr="00594919">
        <w:rPr>
          <w:rFonts w:ascii="Times New Roman" w:hAnsi="Times New Roman"/>
          <w:sz w:val="28"/>
          <w:szCs w:val="28"/>
          <w:lang w:val="uk-UA"/>
        </w:rPr>
        <w:t>При плануванні доходів також враховані сезонні перепади об’ємів споживання послуг</w:t>
      </w:r>
      <w:r w:rsidR="000D2A4B">
        <w:rPr>
          <w:rFonts w:ascii="Times New Roman" w:hAnsi="Times New Roman"/>
          <w:sz w:val="28"/>
          <w:szCs w:val="28"/>
          <w:lang w:val="uk-UA"/>
        </w:rPr>
        <w:t>, фактичний показник інфляції за 201</w:t>
      </w:r>
      <w:r w:rsidR="00110657">
        <w:rPr>
          <w:rFonts w:ascii="Times New Roman" w:hAnsi="Times New Roman"/>
          <w:sz w:val="28"/>
          <w:szCs w:val="28"/>
          <w:lang w:val="uk-UA"/>
        </w:rPr>
        <w:t>9</w:t>
      </w:r>
      <w:r w:rsidR="000D2A4B">
        <w:rPr>
          <w:rFonts w:ascii="Times New Roman" w:hAnsi="Times New Roman"/>
          <w:sz w:val="28"/>
          <w:szCs w:val="28"/>
          <w:lang w:val="uk-UA"/>
        </w:rPr>
        <w:t xml:space="preserve"> р. та прогнозний показник на 20</w:t>
      </w:r>
      <w:r w:rsidR="00516DA6">
        <w:rPr>
          <w:rFonts w:ascii="Times New Roman" w:hAnsi="Times New Roman"/>
          <w:sz w:val="28"/>
          <w:szCs w:val="28"/>
          <w:lang w:val="uk-UA"/>
        </w:rPr>
        <w:t>21</w:t>
      </w:r>
      <w:r w:rsidR="000D2A4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765DDB" w:rsidRPr="00594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2A4B">
        <w:rPr>
          <w:rFonts w:ascii="Times New Roman" w:hAnsi="Times New Roman"/>
          <w:sz w:val="28"/>
          <w:szCs w:val="28"/>
          <w:lang w:val="uk-UA"/>
        </w:rPr>
        <w:t>В</w:t>
      </w:r>
      <w:r w:rsidR="00765DDB" w:rsidRPr="00594919">
        <w:rPr>
          <w:rFonts w:ascii="Times New Roman" w:hAnsi="Times New Roman"/>
          <w:sz w:val="28"/>
          <w:szCs w:val="28"/>
          <w:lang w:val="uk-UA"/>
        </w:rPr>
        <w:t xml:space="preserve"> літній період об’єми споживання послуг лазні  скорочуються, досягаючи мінімуму в червні-серпні, в зимовий пер</w:t>
      </w:r>
      <w:r w:rsidR="009D76D6">
        <w:rPr>
          <w:rFonts w:ascii="Times New Roman" w:hAnsi="Times New Roman"/>
          <w:sz w:val="28"/>
          <w:szCs w:val="28"/>
          <w:lang w:val="uk-UA"/>
        </w:rPr>
        <w:t xml:space="preserve">іод зменшується попит на </w:t>
      </w:r>
      <w:r w:rsidR="001D27A9">
        <w:rPr>
          <w:rFonts w:ascii="Times New Roman" w:hAnsi="Times New Roman"/>
          <w:sz w:val="28"/>
          <w:szCs w:val="28"/>
          <w:lang w:val="uk-UA"/>
        </w:rPr>
        <w:t>послуги по захороненню твердих</w:t>
      </w:r>
      <w:r w:rsidR="002465AA">
        <w:rPr>
          <w:rFonts w:ascii="Times New Roman" w:hAnsi="Times New Roman"/>
          <w:sz w:val="28"/>
          <w:szCs w:val="28"/>
          <w:lang w:val="uk-UA"/>
        </w:rPr>
        <w:t xml:space="preserve"> побутових відходів, попит на ритуальні товари зростає в весняно-літній період.</w:t>
      </w:r>
      <w:r w:rsidR="007328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5A02" w:rsidRDefault="007328DD" w:rsidP="009D76D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зв’язку із прийняттям рішення виконавчим комітетом Фастівської міської ради №5 від 08.01.2019 р. про визначення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«Фастівська ЖЕК» виконавцем послуг з вивезення побутових відходів на території міста Фастова, отримання доходів від здійснення діяльності із </w:t>
      </w:r>
      <w:r w:rsidR="00915A02">
        <w:rPr>
          <w:rFonts w:ascii="Times New Roman" w:hAnsi="Times New Roman"/>
          <w:sz w:val="28"/>
          <w:szCs w:val="28"/>
          <w:lang w:val="uk-UA"/>
        </w:rPr>
        <w:t>збирання та вивезення твердих і</w:t>
      </w:r>
      <w:r>
        <w:rPr>
          <w:rFonts w:ascii="Times New Roman" w:hAnsi="Times New Roman"/>
          <w:sz w:val="28"/>
          <w:szCs w:val="28"/>
          <w:lang w:val="uk-UA"/>
        </w:rPr>
        <w:t xml:space="preserve"> рідких побутових відходів не планується. </w:t>
      </w:r>
    </w:p>
    <w:p w:rsidR="009D76D6" w:rsidRDefault="007328DD" w:rsidP="009D76D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9D76D6">
        <w:rPr>
          <w:rFonts w:ascii="Times New Roman" w:hAnsi="Times New Roman"/>
          <w:sz w:val="28"/>
          <w:szCs w:val="28"/>
          <w:lang w:val="uk-UA"/>
        </w:rPr>
        <w:t xml:space="preserve">адання </w:t>
      </w:r>
      <w:r w:rsidR="009D76D6" w:rsidRPr="00621AC1">
        <w:rPr>
          <w:rFonts w:ascii="Times New Roman" w:hAnsi="Times New Roman"/>
          <w:b/>
          <w:sz w:val="28"/>
          <w:szCs w:val="28"/>
          <w:lang w:val="uk-UA"/>
        </w:rPr>
        <w:t>житлових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з розміщення в готелі</w:t>
      </w:r>
      <w:r w:rsidR="009D76D6">
        <w:rPr>
          <w:rFonts w:ascii="Times New Roman" w:hAnsi="Times New Roman"/>
          <w:sz w:val="28"/>
          <w:szCs w:val="28"/>
          <w:lang w:val="uk-UA"/>
        </w:rPr>
        <w:t xml:space="preserve"> «Фастів»</w:t>
      </w:r>
      <w:r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F6713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не передбачається</w:t>
      </w:r>
      <w:r w:rsidR="009D76D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C5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ільні площі будівлі </w:t>
      </w:r>
      <w:r w:rsidR="00413C51">
        <w:rPr>
          <w:rFonts w:ascii="Times New Roman" w:hAnsi="Times New Roman"/>
          <w:sz w:val="28"/>
          <w:szCs w:val="28"/>
          <w:lang w:val="uk-UA"/>
        </w:rPr>
        <w:t>заплановано надати в оренду</w:t>
      </w:r>
      <w:r w:rsidR="006370EF">
        <w:rPr>
          <w:rFonts w:ascii="Times New Roman" w:hAnsi="Times New Roman"/>
          <w:sz w:val="28"/>
          <w:szCs w:val="28"/>
          <w:lang w:val="uk-UA"/>
        </w:rPr>
        <w:t xml:space="preserve"> за умови надання дозволу</w:t>
      </w:r>
      <w:r w:rsidR="00413C51">
        <w:rPr>
          <w:rFonts w:ascii="Times New Roman" w:hAnsi="Times New Roman"/>
          <w:sz w:val="28"/>
          <w:szCs w:val="28"/>
          <w:lang w:val="uk-UA"/>
        </w:rPr>
        <w:t xml:space="preserve"> фіскальною службою. </w:t>
      </w:r>
      <w:r w:rsidR="006370EF">
        <w:rPr>
          <w:rFonts w:ascii="Times New Roman" w:hAnsi="Times New Roman"/>
          <w:sz w:val="28"/>
          <w:szCs w:val="28"/>
          <w:lang w:val="uk-UA"/>
        </w:rPr>
        <w:t>Очікуваний д</w:t>
      </w:r>
      <w:r w:rsidR="00413C51">
        <w:rPr>
          <w:rFonts w:ascii="Times New Roman" w:hAnsi="Times New Roman"/>
          <w:sz w:val="28"/>
          <w:szCs w:val="28"/>
          <w:lang w:val="uk-UA"/>
        </w:rPr>
        <w:t>охід від оренди включено до</w:t>
      </w:r>
      <w:r w:rsidR="006370EF">
        <w:rPr>
          <w:rFonts w:ascii="Times New Roman" w:hAnsi="Times New Roman"/>
          <w:sz w:val="28"/>
          <w:szCs w:val="28"/>
          <w:lang w:val="uk-UA"/>
        </w:rPr>
        <w:t xml:space="preserve"> показника «Інші операційні доходи».</w:t>
      </w:r>
      <w:r w:rsidR="009D76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5DDB" w:rsidRPr="00A50A2E" w:rsidRDefault="00E3573B" w:rsidP="0055766B">
      <w:pPr>
        <w:jc w:val="right"/>
        <w:rPr>
          <w:b/>
          <w:lang w:val="uk-UA"/>
        </w:rPr>
      </w:pPr>
      <w:proofErr w:type="spellStart"/>
      <w:r w:rsidRPr="00A50A2E">
        <w:rPr>
          <w:b/>
        </w:rPr>
        <w:t>Таблиця</w:t>
      </w:r>
      <w:proofErr w:type="spellEnd"/>
      <w:r w:rsidRPr="00A50A2E">
        <w:rPr>
          <w:b/>
        </w:rPr>
        <w:t xml:space="preserve"> </w:t>
      </w:r>
      <w:r w:rsidR="001B1B7D">
        <w:rPr>
          <w:b/>
          <w:lang w:val="uk-UA"/>
        </w:rPr>
        <w:t>3</w:t>
      </w:r>
    </w:p>
    <w:p w:rsidR="00594919" w:rsidRDefault="0095712B" w:rsidP="0055766B">
      <w:pPr>
        <w:jc w:val="center"/>
        <w:rPr>
          <w:b/>
        </w:rPr>
      </w:pPr>
      <w:r>
        <w:rPr>
          <w:b/>
          <w:lang w:val="uk-UA"/>
        </w:rPr>
        <w:t>Чистий д</w:t>
      </w:r>
      <w:r>
        <w:rPr>
          <w:b/>
        </w:rPr>
        <w:t>ох</w:t>
      </w:r>
      <w:r>
        <w:rPr>
          <w:b/>
          <w:lang w:val="uk-UA"/>
        </w:rPr>
        <w:t>і</w:t>
      </w:r>
      <w:proofErr w:type="spellStart"/>
      <w:r>
        <w:rPr>
          <w:b/>
        </w:rPr>
        <w:t>д</w:t>
      </w:r>
      <w:proofErr w:type="spellEnd"/>
      <w:r w:rsidR="00765DDB" w:rsidRPr="00A50A2E">
        <w:rPr>
          <w:b/>
        </w:rPr>
        <w:t xml:space="preserve"> </w:t>
      </w:r>
      <w:proofErr w:type="spellStart"/>
      <w:r w:rsidR="00765DDB" w:rsidRPr="00A50A2E">
        <w:rPr>
          <w:b/>
        </w:rPr>
        <w:t>підприємства</w:t>
      </w:r>
      <w:proofErr w:type="spellEnd"/>
    </w:p>
    <w:p w:rsidR="0023153C" w:rsidRPr="00594919" w:rsidRDefault="0023153C" w:rsidP="0055766B">
      <w:pPr>
        <w:jc w:val="center"/>
        <w:rPr>
          <w:b/>
          <w:lang w:val="uk-UA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317"/>
        <w:gridCol w:w="1238"/>
        <w:gridCol w:w="1238"/>
        <w:gridCol w:w="1236"/>
        <w:gridCol w:w="810"/>
        <w:gridCol w:w="730"/>
        <w:gridCol w:w="800"/>
        <w:gridCol w:w="829"/>
      </w:tblGrid>
      <w:tr w:rsidR="003A2317" w:rsidRPr="00233989" w:rsidTr="00915A02">
        <w:trPr>
          <w:trHeight w:val="55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7" w:rsidRPr="004C4D7F" w:rsidRDefault="003A2317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Види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доході</w:t>
            </w:r>
            <w:proofErr w:type="gramStart"/>
            <w:r w:rsidRPr="004C4D7F"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7" w:rsidRPr="004C4D7F" w:rsidRDefault="003A2317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Фактичне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минулого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року</w:t>
            </w:r>
          </w:p>
          <w:p w:rsidR="003A2317" w:rsidRPr="004C4D7F" w:rsidRDefault="003A2317" w:rsidP="00F6713B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</w:rPr>
              <w:t>( 20</w:t>
            </w:r>
            <w:r w:rsidR="00B6667A">
              <w:rPr>
                <w:b/>
                <w:sz w:val="20"/>
                <w:szCs w:val="20"/>
                <w:lang w:val="uk-UA"/>
              </w:rPr>
              <w:t>1</w:t>
            </w:r>
            <w:r w:rsidR="00F6713B">
              <w:rPr>
                <w:b/>
                <w:sz w:val="20"/>
                <w:szCs w:val="20"/>
                <w:lang w:val="uk-UA"/>
              </w:rPr>
              <w:t>9</w:t>
            </w:r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4D7F">
              <w:rPr>
                <w:b/>
                <w:sz w:val="20"/>
                <w:szCs w:val="20"/>
              </w:rPr>
              <w:t>р</w:t>
            </w:r>
            <w:proofErr w:type="gramEnd"/>
            <w:r w:rsidRPr="004C4D7F">
              <w:rPr>
                <w:b/>
                <w:sz w:val="20"/>
                <w:szCs w:val="20"/>
              </w:rPr>
              <w:t>ік</w:t>
            </w:r>
            <w:proofErr w:type="spellEnd"/>
            <w:r w:rsidRPr="004C4D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7" w:rsidRPr="004C4D7F" w:rsidRDefault="003A2317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Планові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C4D7F">
              <w:rPr>
                <w:b/>
                <w:sz w:val="20"/>
                <w:szCs w:val="20"/>
              </w:rPr>
              <w:t>поточного</w:t>
            </w:r>
            <w:proofErr w:type="gramEnd"/>
            <w:r w:rsidRPr="004C4D7F">
              <w:rPr>
                <w:b/>
                <w:sz w:val="20"/>
                <w:szCs w:val="20"/>
              </w:rPr>
              <w:t xml:space="preserve"> року</w:t>
            </w:r>
          </w:p>
          <w:p w:rsidR="003A2317" w:rsidRPr="004C4D7F" w:rsidRDefault="003A2317" w:rsidP="00F6713B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</w:rPr>
              <w:t>(20</w:t>
            </w:r>
            <w:r w:rsidR="00F6713B">
              <w:rPr>
                <w:b/>
                <w:sz w:val="20"/>
                <w:szCs w:val="20"/>
                <w:lang w:val="uk-UA"/>
              </w:rPr>
              <w:t>20</w:t>
            </w:r>
            <w:r w:rsidR="0049701F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4C4D7F">
              <w:rPr>
                <w:b/>
                <w:sz w:val="20"/>
                <w:szCs w:val="20"/>
              </w:rPr>
              <w:t>р</w:t>
            </w:r>
            <w:proofErr w:type="gramEnd"/>
            <w:r w:rsidRPr="004C4D7F">
              <w:rPr>
                <w:b/>
                <w:sz w:val="20"/>
                <w:szCs w:val="20"/>
              </w:rPr>
              <w:t>ік</w:t>
            </w:r>
            <w:proofErr w:type="spellEnd"/>
            <w:r w:rsidRPr="004C4D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17" w:rsidRPr="00F6713B" w:rsidRDefault="003A2317" w:rsidP="00F6713B">
            <w:pPr>
              <w:rPr>
                <w:b/>
                <w:sz w:val="20"/>
                <w:szCs w:val="20"/>
                <w:lang w:val="uk-UA"/>
              </w:rPr>
            </w:pPr>
          </w:p>
          <w:p w:rsidR="003A2317" w:rsidRPr="004C4D7F" w:rsidRDefault="003A2317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Довідково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4C4D7F">
              <w:rPr>
                <w:b/>
                <w:sz w:val="20"/>
                <w:szCs w:val="20"/>
              </w:rPr>
              <w:t>фактичне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за 1 квартал </w:t>
            </w:r>
            <w:proofErr w:type="gramStart"/>
            <w:r w:rsidRPr="004C4D7F">
              <w:rPr>
                <w:b/>
                <w:sz w:val="20"/>
                <w:szCs w:val="20"/>
              </w:rPr>
              <w:t>поточного</w:t>
            </w:r>
            <w:proofErr w:type="gramEnd"/>
            <w:r w:rsidRPr="004C4D7F">
              <w:rPr>
                <w:b/>
                <w:sz w:val="20"/>
                <w:szCs w:val="20"/>
              </w:rPr>
              <w:t xml:space="preserve"> року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17" w:rsidRPr="004C4D7F" w:rsidRDefault="003A2317" w:rsidP="00C938D8">
            <w:pPr>
              <w:jc w:val="center"/>
              <w:rPr>
                <w:b/>
                <w:sz w:val="20"/>
                <w:szCs w:val="20"/>
              </w:rPr>
            </w:pPr>
          </w:p>
          <w:p w:rsidR="003A2317" w:rsidRPr="004C4D7F" w:rsidRDefault="003A2317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Планові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4C4D7F">
              <w:rPr>
                <w:b/>
                <w:sz w:val="20"/>
                <w:szCs w:val="20"/>
              </w:rPr>
              <w:t>наступний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4D7F">
              <w:rPr>
                <w:b/>
                <w:sz w:val="20"/>
                <w:szCs w:val="20"/>
              </w:rPr>
              <w:t>р</w:t>
            </w:r>
            <w:proofErr w:type="gramEnd"/>
            <w:r w:rsidRPr="004C4D7F">
              <w:rPr>
                <w:b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A2317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Порівняння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C4D7F">
              <w:rPr>
                <w:b/>
                <w:sz w:val="20"/>
                <w:szCs w:val="20"/>
              </w:rPr>
              <w:t>планових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показників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4C4D7F">
              <w:rPr>
                <w:b/>
                <w:sz w:val="20"/>
                <w:szCs w:val="20"/>
              </w:rPr>
              <w:t>наступний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4D7F">
              <w:rPr>
                <w:b/>
                <w:sz w:val="20"/>
                <w:szCs w:val="20"/>
              </w:rPr>
              <w:t>р</w:t>
            </w:r>
            <w:proofErr w:type="gramEnd"/>
            <w:r w:rsidRPr="004C4D7F">
              <w:rPr>
                <w:b/>
                <w:sz w:val="20"/>
                <w:szCs w:val="20"/>
              </w:rPr>
              <w:t>ік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з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фактичним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виконанням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b/>
                <w:sz w:val="20"/>
                <w:szCs w:val="20"/>
              </w:rPr>
              <w:t>минулого</w:t>
            </w:r>
            <w:proofErr w:type="spellEnd"/>
            <w:r w:rsidRPr="004C4D7F">
              <w:rPr>
                <w:b/>
                <w:sz w:val="20"/>
                <w:szCs w:val="20"/>
              </w:rPr>
              <w:t xml:space="preserve"> року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7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  <w:lang w:val="uk-UA"/>
              </w:rPr>
              <w:t>Порівняння планових показників на наступний рік з плановими показниками поточного року</w:t>
            </w:r>
          </w:p>
        </w:tc>
      </w:tr>
      <w:tr w:rsidR="004C4D7F" w:rsidRPr="00233989" w:rsidTr="00B6667A"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rPr>
                <w:b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</w:rPr>
              <w:t>тис.</w:t>
            </w:r>
          </w:p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</w:rPr>
              <w:t>тис.</w:t>
            </w:r>
          </w:p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D7F">
              <w:rPr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sz w:val="20"/>
                <w:szCs w:val="20"/>
              </w:rPr>
            </w:pPr>
            <w:r w:rsidRPr="004C4D7F">
              <w:rPr>
                <w:b/>
                <w:sz w:val="20"/>
                <w:szCs w:val="20"/>
              </w:rPr>
              <w:t>%</w:t>
            </w:r>
          </w:p>
        </w:tc>
      </w:tr>
      <w:tr w:rsidR="004C4D7F" w:rsidRPr="00233989" w:rsidTr="00B6667A">
        <w:trPr>
          <w:trHeight w:val="269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</w:rPr>
            </w:pPr>
            <w:r w:rsidRPr="004C4D7F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4D7F">
              <w:rPr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7F" w:rsidRPr="004C4D7F" w:rsidRDefault="004C4D7F" w:rsidP="00C938D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4D7F">
              <w:rPr>
                <w:b/>
                <w:i/>
                <w:sz w:val="20"/>
                <w:szCs w:val="20"/>
                <w:lang w:val="uk-UA"/>
              </w:rPr>
              <w:t>9</w:t>
            </w:r>
          </w:p>
        </w:tc>
      </w:tr>
      <w:tr w:rsidR="004C4D7F" w:rsidRPr="00233989" w:rsidTr="00B6667A">
        <w:trPr>
          <w:trHeight w:val="56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F" w:rsidRPr="004C4D7F" w:rsidRDefault="004C4D7F" w:rsidP="00C938D8">
            <w:pPr>
              <w:jc w:val="both"/>
              <w:rPr>
                <w:sz w:val="20"/>
                <w:szCs w:val="20"/>
              </w:rPr>
            </w:pPr>
            <w:proofErr w:type="spellStart"/>
            <w:r w:rsidRPr="004C4D7F">
              <w:rPr>
                <w:sz w:val="20"/>
                <w:szCs w:val="20"/>
              </w:rPr>
              <w:t>Всього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доходів</w:t>
            </w:r>
            <w:proofErr w:type="spellEnd"/>
            <w:r w:rsidRPr="004C4D7F">
              <w:rPr>
                <w:sz w:val="20"/>
                <w:szCs w:val="20"/>
              </w:rPr>
              <w:t>, тис</w:t>
            </w:r>
            <w:proofErr w:type="gramStart"/>
            <w:r w:rsidRPr="004C4D7F">
              <w:rPr>
                <w:sz w:val="20"/>
                <w:szCs w:val="20"/>
              </w:rPr>
              <w:t>.</w:t>
            </w:r>
            <w:proofErr w:type="gram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4D7F">
              <w:rPr>
                <w:sz w:val="20"/>
                <w:szCs w:val="20"/>
              </w:rPr>
              <w:t>г</w:t>
            </w:r>
            <w:proofErr w:type="gramEnd"/>
            <w:r w:rsidRPr="004C4D7F">
              <w:rPr>
                <w:sz w:val="20"/>
                <w:szCs w:val="20"/>
              </w:rPr>
              <w:t>рн</w:t>
            </w:r>
            <w:proofErr w:type="spellEnd"/>
            <w:r w:rsidRPr="004C4D7F">
              <w:rPr>
                <w:sz w:val="20"/>
                <w:szCs w:val="20"/>
              </w:rPr>
              <w:t xml:space="preserve">., в тому </w:t>
            </w:r>
            <w:proofErr w:type="spellStart"/>
            <w:r w:rsidRPr="004C4D7F">
              <w:rPr>
                <w:sz w:val="20"/>
                <w:szCs w:val="20"/>
              </w:rPr>
              <w:t>числі</w:t>
            </w:r>
            <w:proofErr w:type="spellEnd"/>
            <w:r w:rsidRPr="004C4D7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6642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6564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1468</w:t>
            </w:r>
          </w:p>
          <w:p w:rsidR="0095712B" w:rsidRPr="008F2DEF" w:rsidRDefault="0095712B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5712B" w:rsidRPr="008F2DEF" w:rsidRDefault="0095712B" w:rsidP="009571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871C96" w:rsidP="00C44E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7195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CE4F5D" w:rsidP="00C9301E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5F1805" w:rsidP="000E6579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10</w:t>
            </w:r>
            <w:r w:rsidR="000E6579" w:rsidRPr="008F2DE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CE4F5D" w:rsidP="00C9301E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286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CE4F5D" w:rsidP="000E6579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10</w:t>
            </w:r>
            <w:r w:rsidR="000E6579" w:rsidRPr="008F2DEF">
              <w:rPr>
                <w:sz w:val="22"/>
                <w:szCs w:val="22"/>
                <w:lang w:val="uk-UA"/>
              </w:rPr>
              <w:t>5</w:t>
            </w:r>
          </w:p>
        </w:tc>
      </w:tr>
      <w:tr w:rsidR="004C4D7F" w:rsidRPr="00233989" w:rsidTr="00B6667A">
        <w:trPr>
          <w:trHeight w:val="53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F" w:rsidRPr="004C4D7F" w:rsidRDefault="004C4D7F" w:rsidP="00C938D8">
            <w:pPr>
              <w:jc w:val="both"/>
              <w:rPr>
                <w:sz w:val="20"/>
                <w:szCs w:val="20"/>
              </w:rPr>
            </w:pPr>
            <w:proofErr w:type="spellStart"/>
            <w:r w:rsidRPr="004C4D7F">
              <w:rPr>
                <w:sz w:val="20"/>
                <w:szCs w:val="20"/>
              </w:rPr>
              <w:t>Вивезення</w:t>
            </w:r>
            <w:proofErr w:type="spellEnd"/>
            <w:r w:rsidRPr="004C4D7F">
              <w:rPr>
                <w:sz w:val="20"/>
                <w:szCs w:val="20"/>
              </w:rPr>
              <w:t xml:space="preserve"> та </w:t>
            </w:r>
            <w:proofErr w:type="spellStart"/>
            <w:r w:rsidRPr="004C4D7F">
              <w:rPr>
                <w:sz w:val="20"/>
                <w:szCs w:val="20"/>
              </w:rPr>
              <w:t>захоронення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побутових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відході</w:t>
            </w:r>
            <w:proofErr w:type="gramStart"/>
            <w:r w:rsidRPr="004C4D7F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4961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2278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B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861</w:t>
            </w:r>
          </w:p>
          <w:p w:rsidR="0095712B" w:rsidRPr="008F2DEF" w:rsidRDefault="0095712B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5712B" w:rsidRPr="008F2DEF" w:rsidRDefault="0095712B" w:rsidP="009571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871C96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</w:t>
            </w:r>
            <w:r w:rsidR="00871C96">
              <w:rPr>
                <w:sz w:val="22"/>
                <w:szCs w:val="22"/>
                <w:lang w:val="uk-UA"/>
              </w:rPr>
              <w:t>816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CE4F5D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CE4F5D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463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120</w:t>
            </w:r>
          </w:p>
        </w:tc>
      </w:tr>
      <w:tr w:rsidR="004C4D7F" w:rsidRPr="00233989" w:rsidTr="00B666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F" w:rsidRPr="004C4D7F" w:rsidRDefault="004C4D7F" w:rsidP="00C938D8">
            <w:pPr>
              <w:jc w:val="both"/>
              <w:rPr>
                <w:sz w:val="20"/>
                <w:szCs w:val="20"/>
              </w:rPr>
            </w:pPr>
            <w:proofErr w:type="spellStart"/>
            <w:r w:rsidRPr="004C4D7F">
              <w:rPr>
                <w:sz w:val="20"/>
                <w:szCs w:val="20"/>
              </w:rPr>
              <w:t>Ритуальні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послуги</w:t>
            </w:r>
            <w:proofErr w:type="spellEnd"/>
            <w:r w:rsidRPr="004C4D7F">
              <w:rPr>
                <w:sz w:val="20"/>
                <w:szCs w:val="20"/>
              </w:rPr>
              <w:t xml:space="preserve"> та </w:t>
            </w:r>
            <w:proofErr w:type="spellStart"/>
            <w:r w:rsidRPr="004C4D7F">
              <w:rPr>
                <w:sz w:val="20"/>
                <w:szCs w:val="20"/>
              </w:rPr>
              <w:t>реалізація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предметі</w:t>
            </w:r>
            <w:proofErr w:type="gramStart"/>
            <w:r w:rsidRPr="004C4D7F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ритуальної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належності</w:t>
            </w:r>
            <w:proofErr w:type="spellEnd"/>
            <w:r w:rsidRPr="004C4D7F">
              <w:rPr>
                <w:sz w:val="20"/>
                <w:szCs w:val="20"/>
              </w:rPr>
              <w:t xml:space="preserve">, </w:t>
            </w:r>
            <w:proofErr w:type="spellStart"/>
            <w:r w:rsidRPr="004C4D7F">
              <w:rPr>
                <w:sz w:val="20"/>
                <w:szCs w:val="20"/>
              </w:rPr>
              <w:t>намогильних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proofErr w:type="spellStart"/>
            <w:r w:rsidRPr="004C4D7F">
              <w:rPr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1076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6B4B0C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1520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C4D7F" w:rsidRPr="008F2DEF" w:rsidRDefault="00172DC6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463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1640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41E" w:rsidRPr="008F2DEF" w:rsidRDefault="00CE4F5D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564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41E" w:rsidRPr="008F2DEF" w:rsidRDefault="00CE4F5D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4041E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1E" w:rsidRPr="008F2DEF" w:rsidRDefault="00A4041E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108</w:t>
            </w:r>
          </w:p>
        </w:tc>
      </w:tr>
      <w:tr w:rsidR="004C4D7F" w:rsidRPr="00233989" w:rsidTr="00B666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F" w:rsidRPr="006B4B0C" w:rsidRDefault="004C4D7F" w:rsidP="006B4B0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C4D7F">
              <w:rPr>
                <w:sz w:val="20"/>
                <w:szCs w:val="20"/>
              </w:rPr>
              <w:t>Послуги</w:t>
            </w:r>
            <w:proofErr w:type="spellEnd"/>
            <w:r w:rsidRPr="004C4D7F">
              <w:rPr>
                <w:sz w:val="20"/>
                <w:szCs w:val="20"/>
              </w:rPr>
              <w:t xml:space="preserve"> </w:t>
            </w:r>
            <w:r w:rsidR="006B4B0C">
              <w:rPr>
                <w:sz w:val="20"/>
                <w:szCs w:val="20"/>
                <w:lang w:val="uk-UA"/>
              </w:rPr>
              <w:t>готелю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4C4D7F" w:rsidP="00C938D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4D7F" w:rsidRPr="00233989" w:rsidTr="00B6667A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7F" w:rsidRPr="004C4D7F" w:rsidRDefault="000D554C" w:rsidP="00642B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4C4D7F">
              <w:rPr>
                <w:rFonts w:ascii="Times New Roman" w:hAnsi="Times New Roman"/>
                <w:sz w:val="20"/>
                <w:szCs w:val="20"/>
                <w:lang w:val="uk-UA"/>
              </w:rPr>
              <w:t>нші доходи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538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2A259A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2453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6B4B0C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8F2DEF" w:rsidRDefault="005F1805" w:rsidP="00257FF4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2739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2201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509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286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F" w:rsidRPr="008F2DEF" w:rsidRDefault="000E6579" w:rsidP="00C938D8">
            <w:pPr>
              <w:jc w:val="center"/>
              <w:rPr>
                <w:sz w:val="22"/>
                <w:szCs w:val="22"/>
                <w:lang w:val="uk-UA"/>
              </w:rPr>
            </w:pPr>
            <w:r w:rsidRPr="008F2DEF">
              <w:rPr>
                <w:sz w:val="22"/>
                <w:szCs w:val="22"/>
                <w:lang w:val="uk-UA"/>
              </w:rPr>
              <w:t>112</w:t>
            </w:r>
          </w:p>
        </w:tc>
      </w:tr>
    </w:tbl>
    <w:p w:rsidR="00765DDB" w:rsidRPr="00172DC6" w:rsidRDefault="00765DDB" w:rsidP="00765DDB">
      <w:pPr>
        <w:rPr>
          <w:b/>
          <w:lang w:val="uk-UA"/>
        </w:rPr>
      </w:pPr>
    </w:p>
    <w:p w:rsidR="00FD3713" w:rsidRDefault="00FD3713" w:rsidP="00FD37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Переважна більшість послуг підприємства  надається за регульованими цінами: послуги з захоронення</w:t>
      </w:r>
      <w:r w:rsidR="008C7994">
        <w:rPr>
          <w:sz w:val="28"/>
          <w:szCs w:val="28"/>
          <w:lang w:val="uk-UA"/>
        </w:rPr>
        <w:t xml:space="preserve"> твердих побутових</w:t>
      </w:r>
      <w:r>
        <w:rPr>
          <w:sz w:val="28"/>
          <w:szCs w:val="28"/>
          <w:lang w:val="uk-UA"/>
        </w:rPr>
        <w:t xml:space="preserve"> відходів; ритуальні послуги, що входять до мінімального переліку видів ритуальних послуг. </w:t>
      </w:r>
    </w:p>
    <w:p w:rsidR="00FD3713" w:rsidRDefault="0069723C" w:rsidP="00FD371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 w:rsidR="00DD682F">
        <w:rPr>
          <w:sz w:val="28"/>
          <w:szCs w:val="28"/>
          <w:lang w:val="uk-UA"/>
        </w:rPr>
        <w:t>9</w:t>
      </w:r>
      <w:r w:rsidR="00FD3713">
        <w:rPr>
          <w:sz w:val="28"/>
          <w:szCs w:val="28"/>
          <w:lang w:val="uk-UA"/>
        </w:rPr>
        <w:t xml:space="preserve"> році послуги з </w:t>
      </w:r>
      <w:r w:rsidR="00FD3713" w:rsidRPr="00FF02D2">
        <w:rPr>
          <w:b/>
          <w:sz w:val="28"/>
          <w:szCs w:val="28"/>
          <w:lang w:val="uk-UA"/>
        </w:rPr>
        <w:t>вивезення та захоронення відходів</w:t>
      </w:r>
      <w:r w:rsidR="00FD3713">
        <w:rPr>
          <w:sz w:val="28"/>
          <w:szCs w:val="28"/>
          <w:lang w:val="uk-UA"/>
        </w:rPr>
        <w:t xml:space="preserve"> надавалися за тарифами затвердженими рішенням виконавчого комітету Фастівської міської ради </w:t>
      </w:r>
      <w:r>
        <w:rPr>
          <w:sz w:val="28"/>
          <w:szCs w:val="28"/>
          <w:lang w:val="uk-UA"/>
        </w:rPr>
        <w:t xml:space="preserve">№489 від 15.12.17р. В поточному році послуги на </w:t>
      </w:r>
      <w:r w:rsidR="00AC52FD">
        <w:rPr>
          <w:sz w:val="28"/>
          <w:szCs w:val="28"/>
          <w:lang w:val="uk-UA"/>
        </w:rPr>
        <w:t>захоронення твердих</w:t>
      </w:r>
      <w:r>
        <w:rPr>
          <w:sz w:val="28"/>
          <w:szCs w:val="28"/>
          <w:lang w:val="uk-UA"/>
        </w:rPr>
        <w:t xml:space="preserve"> побутових відходів надаються за тарифами згідно вказаного рішення</w:t>
      </w:r>
      <w:r w:rsidR="00AC52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C52FD">
        <w:rPr>
          <w:sz w:val="28"/>
          <w:szCs w:val="28"/>
          <w:lang w:val="uk-UA"/>
        </w:rPr>
        <w:t>П</w:t>
      </w:r>
      <w:r w:rsidR="00FD3713">
        <w:rPr>
          <w:sz w:val="28"/>
          <w:szCs w:val="28"/>
          <w:lang w:val="uk-UA"/>
        </w:rPr>
        <w:t xml:space="preserve">ри формуванні планових показників дохідності </w:t>
      </w:r>
      <w:r w:rsidR="00DD192E">
        <w:rPr>
          <w:sz w:val="28"/>
          <w:szCs w:val="28"/>
          <w:lang w:val="uk-UA"/>
        </w:rPr>
        <w:t xml:space="preserve">від даного виду діяльності </w:t>
      </w:r>
      <w:r>
        <w:rPr>
          <w:sz w:val="28"/>
          <w:szCs w:val="28"/>
          <w:lang w:val="uk-UA"/>
        </w:rPr>
        <w:t>на 20</w:t>
      </w:r>
      <w:r w:rsidR="00AC52FD">
        <w:rPr>
          <w:sz w:val="28"/>
          <w:szCs w:val="28"/>
          <w:lang w:val="uk-UA"/>
        </w:rPr>
        <w:t>2</w:t>
      </w:r>
      <w:r w:rsidR="00DD68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</w:t>
      </w:r>
      <w:r w:rsidR="00AC52FD">
        <w:rPr>
          <w:sz w:val="28"/>
          <w:szCs w:val="28"/>
          <w:lang w:val="uk-UA"/>
        </w:rPr>
        <w:t xml:space="preserve"> розмір тарифу збільшено на </w:t>
      </w:r>
      <w:r w:rsidR="00871C96">
        <w:rPr>
          <w:sz w:val="28"/>
          <w:szCs w:val="28"/>
          <w:lang w:val="uk-UA"/>
        </w:rPr>
        <w:t>15</w:t>
      </w:r>
      <w:r w:rsidR="00AC52FD">
        <w:rPr>
          <w:sz w:val="28"/>
          <w:szCs w:val="28"/>
          <w:lang w:val="uk-UA"/>
        </w:rPr>
        <w:t>%</w:t>
      </w:r>
      <w:r w:rsidR="00FD3713">
        <w:rPr>
          <w:sz w:val="28"/>
          <w:szCs w:val="28"/>
          <w:lang w:val="uk-UA"/>
        </w:rPr>
        <w:t xml:space="preserve">.   </w:t>
      </w:r>
    </w:p>
    <w:p w:rsidR="00FD3713" w:rsidRDefault="00494018" w:rsidP="00FD37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 кварталі пот</w:t>
      </w:r>
      <w:r w:rsidR="0069723C">
        <w:rPr>
          <w:sz w:val="28"/>
          <w:szCs w:val="28"/>
          <w:lang w:val="uk-UA"/>
        </w:rPr>
        <w:t xml:space="preserve">очного року підприємством на </w:t>
      </w:r>
      <w:r w:rsidR="00DD682F">
        <w:rPr>
          <w:sz w:val="28"/>
          <w:szCs w:val="28"/>
          <w:lang w:val="uk-UA"/>
        </w:rPr>
        <w:t>122</w:t>
      </w:r>
      <w:r w:rsidR="0069723C">
        <w:rPr>
          <w:sz w:val="28"/>
          <w:szCs w:val="28"/>
          <w:lang w:val="uk-UA"/>
        </w:rPr>
        <w:t xml:space="preserve"> % </w:t>
      </w:r>
      <w:r>
        <w:rPr>
          <w:sz w:val="28"/>
          <w:szCs w:val="28"/>
          <w:lang w:val="uk-UA"/>
        </w:rPr>
        <w:t xml:space="preserve">виконано планові показники по </w:t>
      </w:r>
      <w:r w:rsidR="00FD3713" w:rsidRPr="00FF02D2">
        <w:rPr>
          <w:b/>
          <w:sz w:val="28"/>
          <w:szCs w:val="28"/>
          <w:lang w:val="uk-UA"/>
        </w:rPr>
        <w:t>реалізац</w:t>
      </w:r>
      <w:r>
        <w:rPr>
          <w:b/>
          <w:sz w:val="28"/>
          <w:szCs w:val="28"/>
          <w:lang w:val="uk-UA"/>
        </w:rPr>
        <w:t>ії</w:t>
      </w:r>
      <w:r w:rsidR="00FD3713" w:rsidRPr="00FF02D2">
        <w:rPr>
          <w:b/>
          <w:sz w:val="28"/>
          <w:szCs w:val="28"/>
          <w:lang w:val="uk-UA"/>
        </w:rPr>
        <w:t xml:space="preserve"> предметів ритуальної належності</w:t>
      </w:r>
      <w:r>
        <w:rPr>
          <w:b/>
          <w:sz w:val="28"/>
          <w:szCs w:val="28"/>
          <w:lang w:val="uk-UA"/>
        </w:rPr>
        <w:t xml:space="preserve"> та наданні</w:t>
      </w:r>
      <w:r w:rsidR="00FD3713" w:rsidRPr="00FF02D2">
        <w:rPr>
          <w:b/>
          <w:sz w:val="28"/>
          <w:szCs w:val="28"/>
          <w:lang w:val="uk-UA"/>
        </w:rPr>
        <w:t xml:space="preserve"> ритуальних послуг</w:t>
      </w:r>
      <w:r w:rsidR="00FD3713">
        <w:rPr>
          <w:sz w:val="28"/>
          <w:szCs w:val="28"/>
          <w:lang w:val="uk-UA"/>
        </w:rPr>
        <w:t>. Послуги копання могили та</w:t>
      </w:r>
      <w:r w:rsidR="0069723C">
        <w:rPr>
          <w:sz w:val="28"/>
          <w:szCs w:val="28"/>
          <w:lang w:val="uk-UA"/>
        </w:rPr>
        <w:t xml:space="preserve"> поховання померлого</w:t>
      </w:r>
      <w:r w:rsidR="00A869FF">
        <w:rPr>
          <w:sz w:val="28"/>
          <w:szCs w:val="28"/>
          <w:lang w:val="uk-UA"/>
        </w:rPr>
        <w:t>, оформлення свідоцтва про поховання та договору замовлення</w:t>
      </w:r>
      <w:r w:rsidR="0069723C">
        <w:rPr>
          <w:sz w:val="28"/>
          <w:szCs w:val="28"/>
          <w:lang w:val="uk-UA"/>
        </w:rPr>
        <w:t xml:space="preserve"> в 201</w:t>
      </w:r>
      <w:r w:rsidR="000E3F35">
        <w:rPr>
          <w:sz w:val="28"/>
          <w:szCs w:val="28"/>
          <w:lang w:val="uk-UA"/>
        </w:rPr>
        <w:t>8</w:t>
      </w:r>
      <w:r w:rsidR="00FD3713">
        <w:rPr>
          <w:sz w:val="28"/>
          <w:szCs w:val="28"/>
          <w:lang w:val="uk-UA"/>
        </w:rPr>
        <w:t xml:space="preserve"> р</w:t>
      </w:r>
      <w:r w:rsidR="00A869FF">
        <w:rPr>
          <w:sz w:val="28"/>
          <w:szCs w:val="28"/>
          <w:lang w:val="uk-UA"/>
        </w:rPr>
        <w:t xml:space="preserve">. та поточному році </w:t>
      </w:r>
      <w:r w:rsidR="00FD3713">
        <w:rPr>
          <w:sz w:val="28"/>
          <w:szCs w:val="28"/>
          <w:lang w:val="uk-UA"/>
        </w:rPr>
        <w:t xml:space="preserve">надавалися за тарифами, затвердженими рішенням виконавчого комітету Фастівської міської ради </w:t>
      </w:r>
      <w:r w:rsidR="0069723C">
        <w:rPr>
          <w:sz w:val="28"/>
          <w:szCs w:val="28"/>
          <w:lang w:val="uk-UA"/>
        </w:rPr>
        <w:t>№ 248 від 21.05.2018р.</w:t>
      </w:r>
      <w:r w:rsidR="003E496B">
        <w:rPr>
          <w:sz w:val="28"/>
          <w:szCs w:val="28"/>
          <w:lang w:val="uk-UA"/>
        </w:rPr>
        <w:t xml:space="preserve"> На плановий рік передбачено підвищення вартості послуг з урахуванням законодавчих змін розміру мінімальної заробітної плати та положень Галузевої угоди.</w:t>
      </w:r>
    </w:p>
    <w:p w:rsidR="00FD3713" w:rsidRPr="00FF02D2" w:rsidRDefault="00FD3713" w:rsidP="0049401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6B1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начний рівень</w:t>
      </w:r>
      <w:r w:rsidRPr="00486B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амортизації будівлі </w:t>
      </w:r>
      <w:r w:rsidRPr="00734A4D">
        <w:rPr>
          <w:rFonts w:ascii="Times New Roman" w:hAnsi="Times New Roman"/>
          <w:b/>
          <w:sz w:val="28"/>
          <w:szCs w:val="28"/>
          <w:lang w:val="uk-UA"/>
        </w:rPr>
        <w:t>готелю «Фастів»</w:t>
      </w:r>
      <w:r w:rsidRPr="00486B18">
        <w:rPr>
          <w:rFonts w:ascii="Times New Roman" w:hAnsi="Times New Roman"/>
          <w:sz w:val="28"/>
          <w:szCs w:val="28"/>
          <w:lang w:val="uk-UA"/>
        </w:rPr>
        <w:t xml:space="preserve"> не відповідає вимогам сучасного ринку послуг і впливає на кон</w:t>
      </w:r>
      <w:r>
        <w:rPr>
          <w:rFonts w:ascii="Times New Roman" w:hAnsi="Times New Roman"/>
          <w:sz w:val="28"/>
          <w:szCs w:val="28"/>
          <w:lang w:val="uk-UA"/>
        </w:rPr>
        <w:t>курентоспроможність структурного підрозділу</w:t>
      </w:r>
      <w:r w:rsidRPr="00486B1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 2016 року завантаженість номерного фонду готелю склала 12% від його пропускної спроможності. Фінансовим результатом діяльності готелю став збиток у сумі 177, 7 тис. грн. </w:t>
      </w:r>
      <w:r w:rsidRPr="00486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E38">
        <w:rPr>
          <w:rFonts w:ascii="Times New Roman" w:hAnsi="Times New Roman"/>
          <w:sz w:val="28"/>
          <w:szCs w:val="28"/>
          <w:lang w:val="uk-UA"/>
        </w:rPr>
        <w:t>В І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кварталі</w:t>
      </w:r>
      <w:r w:rsidR="00726E38">
        <w:rPr>
          <w:rFonts w:ascii="Times New Roman" w:hAnsi="Times New Roman"/>
          <w:sz w:val="28"/>
          <w:szCs w:val="28"/>
          <w:lang w:val="uk-UA"/>
        </w:rPr>
        <w:t xml:space="preserve"> 2017 р.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підприємством було призупинено діяльність готелю «Фастів». Чистий дохід від реалізації послуг в січні 2017 року склав 315 грн. Об’єкт було поставлено під охорону. В результаті вчинених дій підприємству вдалося уникнути додаткових збитків від нерентабельного виду діяльності.</w:t>
      </w:r>
      <w:r w:rsidR="00697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29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107C4">
        <w:rPr>
          <w:rFonts w:ascii="Times New Roman" w:hAnsi="Times New Roman"/>
          <w:sz w:val="28"/>
          <w:szCs w:val="28"/>
          <w:lang w:val="uk-UA"/>
        </w:rPr>
        <w:t>2018 році</w:t>
      </w:r>
      <w:r w:rsidR="005231AE">
        <w:rPr>
          <w:rFonts w:ascii="Times New Roman" w:hAnsi="Times New Roman"/>
          <w:sz w:val="28"/>
          <w:szCs w:val="28"/>
          <w:lang w:val="uk-UA"/>
        </w:rPr>
        <w:t xml:space="preserve"> за кошти цільового фінансування було проведено технічне обстеження і виготовлено звіт по об’єкту «Реконструкція будівлі готелю під адміністративну будівлю по вулиці Івана </w:t>
      </w:r>
      <w:proofErr w:type="spellStart"/>
      <w:r w:rsidR="005231AE">
        <w:rPr>
          <w:rFonts w:ascii="Times New Roman" w:hAnsi="Times New Roman"/>
          <w:sz w:val="28"/>
          <w:szCs w:val="28"/>
          <w:lang w:val="uk-UA"/>
        </w:rPr>
        <w:t>Ступака</w:t>
      </w:r>
      <w:proofErr w:type="spellEnd"/>
      <w:r w:rsidR="005231AE">
        <w:rPr>
          <w:rFonts w:ascii="Times New Roman" w:hAnsi="Times New Roman"/>
          <w:sz w:val="28"/>
          <w:szCs w:val="28"/>
          <w:lang w:val="uk-UA"/>
        </w:rPr>
        <w:t xml:space="preserve">, 3, в </w:t>
      </w:r>
      <w:proofErr w:type="spellStart"/>
      <w:r w:rsidR="005231AE">
        <w:rPr>
          <w:rFonts w:ascii="Times New Roman" w:hAnsi="Times New Roman"/>
          <w:sz w:val="28"/>
          <w:szCs w:val="28"/>
          <w:lang w:val="uk-UA"/>
        </w:rPr>
        <w:t>м.Фастів</w:t>
      </w:r>
      <w:proofErr w:type="spellEnd"/>
      <w:r w:rsidR="005231AE">
        <w:rPr>
          <w:rFonts w:ascii="Times New Roman" w:hAnsi="Times New Roman"/>
          <w:sz w:val="28"/>
          <w:szCs w:val="28"/>
          <w:lang w:val="uk-UA"/>
        </w:rPr>
        <w:t xml:space="preserve">, Київської області». </w:t>
      </w:r>
      <w:r w:rsidR="0069723C">
        <w:rPr>
          <w:rFonts w:ascii="Times New Roman" w:hAnsi="Times New Roman"/>
          <w:sz w:val="28"/>
          <w:szCs w:val="28"/>
          <w:lang w:val="uk-UA"/>
        </w:rPr>
        <w:t xml:space="preserve"> В 201</w:t>
      </w:r>
      <w:r w:rsidR="00A869FF">
        <w:rPr>
          <w:rFonts w:ascii="Times New Roman" w:hAnsi="Times New Roman"/>
          <w:sz w:val="28"/>
          <w:szCs w:val="28"/>
          <w:lang w:val="uk-UA"/>
        </w:rPr>
        <w:t>9</w:t>
      </w:r>
      <w:r w:rsidR="00726E38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5231A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A869FF">
        <w:rPr>
          <w:rFonts w:ascii="Times New Roman" w:hAnsi="Times New Roman"/>
          <w:sz w:val="28"/>
          <w:szCs w:val="28"/>
          <w:lang w:val="uk-UA"/>
        </w:rPr>
        <w:t>роведено частковий ремонт в</w:t>
      </w:r>
      <w:r w:rsidR="005231AE">
        <w:rPr>
          <w:rFonts w:ascii="Times New Roman" w:hAnsi="Times New Roman"/>
          <w:sz w:val="28"/>
          <w:szCs w:val="28"/>
          <w:lang w:val="uk-UA"/>
        </w:rPr>
        <w:t xml:space="preserve"> будівлі готелю </w:t>
      </w:r>
      <w:r w:rsidR="005231AE">
        <w:rPr>
          <w:rFonts w:ascii="Times New Roman" w:hAnsi="Times New Roman"/>
          <w:sz w:val="28"/>
          <w:szCs w:val="28"/>
          <w:lang w:val="uk-UA"/>
        </w:rPr>
        <w:lastRenderedPageBreak/>
        <w:t>«Фастів»</w:t>
      </w:r>
      <w:r w:rsidR="00726E38">
        <w:rPr>
          <w:rFonts w:ascii="Times New Roman" w:hAnsi="Times New Roman"/>
          <w:sz w:val="28"/>
          <w:szCs w:val="28"/>
          <w:lang w:val="uk-UA"/>
        </w:rPr>
        <w:t>.</w:t>
      </w:r>
      <w:r w:rsidR="00A869FF">
        <w:rPr>
          <w:rFonts w:ascii="Times New Roman" w:hAnsi="Times New Roman"/>
          <w:sz w:val="28"/>
          <w:szCs w:val="28"/>
          <w:lang w:val="uk-UA"/>
        </w:rPr>
        <w:t xml:space="preserve"> На даний час йде пошук </w:t>
      </w:r>
      <w:r w:rsidR="009D36B2">
        <w:rPr>
          <w:rFonts w:ascii="Times New Roman" w:hAnsi="Times New Roman"/>
          <w:sz w:val="28"/>
          <w:szCs w:val="28"/>
          <w:lang w:val="uk-UA"/>
        </w:rPr>
        <w:t>партнера-орендаря, зацікавленого в підписанні договору на умовах проведення ремонтних робіт в приміщенні.</w:t>
      </w:r>
      <w:r w:rsidR="000256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483E" w:rsidRDefault="00FD3713" w:rsidP="009A23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Тарифи на </w:t>
      </w:r>
      <w:r w:rsidRPr="00726E38">
        <w:rPr>
          <w:b/>
          <w:sz w:val="28"/>
          <w:szCs w:val="28"/>
          <w:lang w:val="uk-UA"/>
        </w:rPr>
        <w:t>послуги міської лазні</w:t>
      </w:r>
      <w:r>
        <w:rPr>
          <w:sz w:val="28"/>
          <w:szCs w:val="28"/>
          <w:lang w:val="uk-UA"/>
        </w:rPr>
        <w:t xml:space="preserve"> затверджені рішенням виконавчого комітету Фастівської міської ради від 31.10.14 р. № 355. Розмір даного тарифу не відшкодовує витрат на їх виробництво.</w:t>
      </w:r>
      <w:r w:rsidR="00F4046D">
        <w:rPr>
          <w:sz w:val="28"/>
          <w:szCs w:val="28"/>
          <w:lang w:val="uk-UA"/>
        </w:rPr>
        <w:t xml:space="preserve"> Підприємство неодноразово зверталося до міської ради з проханням відновити дотацію міської лазні, однак рішення не було прийнято.. </w:t>
      </w:r>
    </w:p>
    <w:p w:rsidR="007D4E15" w:rsidRDefault="003E496B" w:rsidP="009A23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Доходи, які очікує підприємство від здійснення іншої діяльності згідно Статуту, становлять доходи</w:t>
      </w:r>
      <w:r w:rsidR="007D4E15">
        <w:rPr>
          <w:sz w:val="28"/>
          <w:szCs w:val="28"/>
          <w:lang w:val="uk-UA"/>
        </w:rPr>
        <w:t xml:space="preserve">: </w:t>
      </w:r>
    </w:p>
    <w:p w:rsidR="003E496B" w:rsidRDefault="003E496B" w:rsidP="007D4E1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надання транспортних послуг</w:t>
      </w:r>
      <w:r w:rsidR="007D4E15">
        <w:rPr>
          <w:sz w:val="28"/>
          <w:szCs w:val="28"/>
          <w:lang w:val="uk-UA"/>
        </w:rPr>
        <w:t xml:space="preserve">. Дохід від даного виду діяльності значно перевищує планові показники минулих років в зв’язку із появою попиту </w:t>
      </w:r>
      <w:proofErr w:type="spellStart"/>
      <w:r w:rsidR="007D4E15">
        <w:rPr>
          <w:sz w:val="28"/>
          <w:szCs w:val="28"/>
          <w:lang w:val="uk-UA"/>
        </w:rPr>
        <w:t>КП</w:t>
      </w:r>
      <w:proofErr w:type="spellEnd"/>
      <w:r w:rsidR="007D4E15">
        <w:rPr>
          <w:sz w:val="28"/>
          <w:szCs w:val="28"/>
          <w:lang w:val="uk-UA"/>
        </w:rPr>
        <w:t xml:space="preserve"> ФМР «Фастівська ЖЕК» на послуги </w:t>
      </w:r>
      <w:proofErr w:type="spellStart"/>
      <w:r w:rsidR="007D4E15">
        <w:rPr>
          <w:sz w:val="28"/>
          <w:szCs w:val="28"/>
          <w:lang w:val="uk-UA"/>
        </w:rPr>
        <w:t>спецавтомобілів</w:t>
      </w:r>
      <w:proofErr w:type="spellEnd"/>
      <w:r w:rsidR="007D4E15">
        <w:rPr>
          <w:sz w:val="28"/>
          <w:szCs w:val="28"/>
          <w:lang w:val="uk-UA"/>
        </w:rPr>
        <w:t xml:space="preserve"> для здійснення вивезення побутових відходів;</w:t>
      </w:r>
    </w:p>
    <w:p w:rsidR="007D4E15" w:rsidRDefault="007D4E15" w:rsidP="007D4E1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реалізації вторинної сировини, отриманої в результаті сортування відходів на полігоні перед захороненням.</w:t>
      </w:r>
    </w:p>
    <w:p w:rsidR="005376FB" w:rsidRDefault="005376FB" w:rsidP="007D4E15">
      <w:pPr>
        <w:jc w:val="both"/>
        <w:rPr>
          <w:sz w:val="28"/>
          <w:szCs w:val="28"/>
          <w:lang w:val="uk-UA"/>
        </w:rPr>
      </w:pPr>
    </w:p>
    <w:p w:rsidR="009A23F1" w:rsidRPr="001366AF" w:rsidRDefault="00642B11" w:rsidP="001366AF">
      <w:pPr>
        <w:ind w:firstLine="708"/>
        <w:jc w:val="both"/>
        <w:rPr>
          <w:sz w:val="28"/>
          <w:szCs w:val="28"/>
          <w:lang w:val="uk-UA"/>
        </w:rPr>
      </w:pPr>
      <w:r w:rsidRPr="00594919">
        <w:rPr>
          <w:sz w:val="28"/>
          <w:szCs w:val="28"/>
          <w:lang w:val="uk-UA"/>
        </w:rPr>
        <w:t xml:space="preserve"> </w:t>
      </w:r>
      <w:r w:rsidR="001D7E50" w:rsidRPr="00594919">
        <w:rPr>
          <w:sz w:val="28"/>
          <w:szCs w:val="28"/>
          <w:lang w:val="uk-UA"/>
        </w:rPr>
        <w:t>Розподіл показників доходу за видами діяльності</w:t>
      </w:r>
      <w:r w:rsidR="0055766B">
        <w:rPr>
          <w:sz w:val="28"/>
          <w:szCs w:val="28"/>
          <w:lang w:val="uk-UA"/>
        </w:rPr>
        <w:t xml:space="preserve"> у грошовому вираженні</w:t>
      </w:r>
      <w:r w:rsidR="001D7E50" w:rsidRPr="00594919">
        <w:rPr>
          <w:sz w:val="28"/>
          <w:szCs w:val="28"/>
          <w:lang w:val="uk-UA"/>
        </w:rPr>
        <w:t xml:space="preserve"> по ква</w:t>
      </w:r>
      <w:r w:rsidR="0055766B">
        <w:rPr>
          <w:sz w:val="28"/>
          <w:szCs w:val="28"/>
          <w:lang w:val="uk-UA"/>
        </w:rPr>
        <w:t>рталам наведений в  таблиці 4</w:t>
      </w:r>
      <w:r w:rsidR="001366AF">
        <w:rPr>
          <w:sz w:val="28"/>
          <w:szCs w:val="28"/>
          <w:lang w:val="uk-UA"/>
        </w:rPr>
        <w:t>.</w:t>
      </w:r>
    </w:p>
    <w:p w:rsidR="00D024CD" w:rsidRDefault="00E3573B" w:rsidP="001366AF">
      <w:pPr>
        <w:jc w:val="right"/>
        <w:rPr>
          <w:b/>
          <w:lang w:val="uk-UA"/>
        </w:rPr>
      </w:pPr>
      <w:proofErr w:type="spellStart"/>
      <w:r w:rsidRPr="00A50A2E">
        <w:rPr>
          <w:b/>
        </w:rPr>
        <w:t>Таблиця</w:t>
      </w:r>
      <w:proofErr w:type="spellEnd"/>
      <w:r w:rsidRPr="00A50A2E">
        <w:rPr>
          <w:b/>
        </w:rPr>
        <w:t xml:space="preserve"> </w:t>
      </w:r>
      <w:r w:rsidR="0055766B">
        <w:rPr>
          <w:b/>
          <w:lang w:val="uk-UA"/>
        </w:rPr>
        <w:t>4</w:t>
      </w:r>
    </w:p>
    <w:p w:rsidR="0023153C" w:rsidRPr="00594919" w:rsidRDefault="00D8588F" w:rsidP="00D8588F">
      <w:pPr>
        <w:jc w:val="right"/>
        <w:rPr>
          <w:b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.)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072"/>
        <w:gridCol w:w="1135"/>
        <w:gridCol w:w="1135"/>
        <w:gridCol w:w="1276"/>
        <w:gridCol w:w="1137"/>
      </w:tblGrid>
      <w:tr w:rsidR="00765DDB" w:rsidRPr="00A50A2E" w:rsidTr="005A0DDA">
        <w:trPr>
          <w:trHeight w:val="418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</w:rPr>
            </w:pPr>
            <w:proofErr w:type="spellStart"/>
            <w:r w:rsidRPr="00A50A2E">
              <w:rPr>
                <w:b/>
              </w:rPr>
              <w:t>Види</w:t>
            </w:r>
            <w:proofErr w:type="spellEnd"/>
            <w:r w:rsidRPr="00A50A2E">
              <w:rPr>
                <w:b/>
              </w:rPr>
              <w:t xml:space="preserve"> </w:t>
            </w:r>
            <w:proofErr w:type="spellStart"/>
            <w:r w:rsidRPr="00A50A2E">
              <w:rPr>
                <w:b/>
              </w:rPr>
              <w:t>доході</w:t>
            </w:r>
            <w:proofErr w:type="gramStart"/>
            <w:r w:rsidRPr="00A50A2E"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CA" w:rsidRDefault="00E3573B" w:rsidP="005A39CA">
            <w:pPr>
              <w:jc w:val="center"/>
              <w:rPr>
                <w:b/>
                <w:lang w:val="uk-UA"/>
              </w:rPr>
            </w:pPr>
            <w:proofErr w:type="spellStart"/>
            <w:r w:rsidRPr="00A50A2E">
              <w:rPr>
                <w:b/>
              </w:rPr>
              <w:t>Планові</w:t>
            </w:r>
            <w:proofErr w:type="spellEnd"/>
            <w:r w:rsidRPr="00A50A2E">
              <w:rPr>
                <w:b/>
              </w:rPr>
              <w:t xml:space="preserve"> </w:t>
            </w:r>
            <w:proofErr w:type="spellStart"/>
            <w:r w:rsidRPr="00A50A2E">
              <w:rPr>
                <w:b/>
              </w:rPr>
              <w:t>показники</w:t>
            </w:r>
            <w:proofErr w:type="spellEnd"/>
            <w:r w:rsidRPr="00A50A2E">
              <w:rPr>
                <w:b/>
              </w:rPr>
              <w:t xml:space="preserve"> 20</w:t>
            </w:r>
            <w:r w:rsidR="00FE2F99">
              <w:rPr>
                <w:b/>
                <w:lang w:val="uk-UA"/>
              </w:rPr>
              <w:t>2</w:t>
            </w:r>
            <w:r w:rsidR="005A39CA">
              <w:rPr>
                <w:b/>
                <w:lang w:val="uk-UA"/>
              </w:rPr>
              <w:t>1</w:t>
            </w:r>
          </w:p>
          <w:p w:rsidR="00765DDB" w:rsidRPr="00A50A2E" w:rsidRDefault="00765DDB" w:rsidP="005A39CA">
            <w:pPr>
              <w:jc w:val="center"/>
              <w:rPr>
                <w:b/>
              </w:rPr>
            </w:pPr>
            <w:r w:rsidRPr="00A50A2E">
              <w:rPr>
                <w:b/>
              </w:rPr>
              <w:t>року</w:t>
            </w:r>
          </w:p>
        </w:tc>
        <w:tc>
          <w:tcPr>
            <w:tcW w:w="2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</w:rPr>
            </w:pPr>
            <w:proofErr w:type="gramStart"/>
            <w:r w:rsidRPr="00A50A2E">
              <w:rPr>
                <w:b/>
              </w:rPr>
              <w:t>У</w:t>
            </w:r>
            <w:proofErr w:type="gramEnd"/>
            <w:r w:rsidRPr="00A50A2E">
              <w:rPr>
                <w:b/>
              </w:rPr>
              <w:t xml:space="preserve"> тому </w:t>
            </w:r>
            <w:proofErr w:type="spellStart"/>
            <w:r w:rsidRPr="00A50A2E">
              <w:rPr>
                <w:b/>
              </w:rPr>
              <w:t>числі</w:t>
            </w:r>
            <w:proofErr w:type="spellEnd"/>
            <w:r w:rsidRPr="00A50A2E">
              <w:rPr>
                <w:b/>
              </w:rPr>
              <w:t xml:space="preserve"> за кварталами</w:t>
            </w:r>
          </w:p>
        </w:tc>
      </w:tr>
      <w:tr w:rsidR="00765DDB" w:rsidRPr="00A50A2E" w:rsidTr="00C938D8">
        <w:tc>
          <w:tcPr>
            <w:tcW w:w="1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rPr>
                <w:b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rPr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</w:rPr>
            </w:pPr>
            <w:r w:rsidRPr="00A50A2E">
              <w:rPr>
                <w:b/>
              </w:rPr>
              <w:t>І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B" w:rsidRPr="00A50A2E" w:rsidRDefault="00765DDB" w:rsidP="00C938D8">
            <w:pPr>
              <w:jc w:val="center"/>
              <w:rPr>
                <w:b/>
              </w:rPr>
            </w:pPr>
            <w:r w:rsidRPr="00A50A2E">
              <w:rPr>
                <w:b/>
              </w:rPr>
              <w:t>ІІ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</w:rPr>
            </w:pPr>
            <w:r w:rsidRPr="00A50A2E">
              <w:rPr>
                <w:b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</w:rPr>
            </w:pPr>
            <w:r w:rsidRPr="00A50A2E">
              <w:rPr>
                <w:b/>
              </w:rPr>
              <w:t>І</w:t>
            </w:r>
            <w:r w:rsidRPr="00A50A2E">
              <w:rPr>
                <w:b/>
                <w:lang w:val="en-US"/>
              </w:rPr>
              <w:t>V</w:t>
            </w:r>
          </w:p>
        </w:tc>
      </w:tr>
      <w:tr w:rsidR="00765DDB" w:rsidRPr="00A50A2E" w:rsidTr="00C938D8">
        <w:trPr>
          <w:trHeight w:val="27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  <w:i/>
              </w:rPr>
            </w:pPr>
            <w:r w:rsidRPr="00A50A2E">
              <w:rPr>
                <w:b/>
                <w:i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  <w:i/>
              </w:rPr>
            </w:pPr>
            <w:r w:rsidRPr="00A50A2E">
              <w:rPr>
                <w:b/>
                <w:i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  <w:i/>
              </w:rPr>
            </w:pPr>
            <w:r w:rsidRPr="00A50A2E">
              <w:rPr>
                <w:b/>
                <w:i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DB" w:rsidRPr="00A50A2E" w:rsidRDefault="00765DDB" w:rsidP="00C938D8">
            <w:pPr>
              <w:jc w:val="center"/>
              <w:rPr>
                <w:b/>
                <w:i/>
              </w:rPr>
            </w:pPr>
            <w:r w:rsidRPr="00A50A2E">
              <w:rPr>
                <w:b/>
                <w:i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  <w:i/>
              </w:rPr>
            </w:pPr>
            <w:r w:rsidRPr="00A50A2E">
              <w:rPr>
                <w:b/>
                <w:i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DB" w:rsidRPr="00A50A2E" w:rsidRDefault="00765DDB" w:rsidP="00C938D8">
            <w:pPr>
              <w:jc w:val="center"/>
              <w:rPr>
                <w:b/>
                <w:i/>
              </w:rPr>
            </w:pPr>
            <w:r w:rsidRPr="00A50A2E">
              <w:rPr>
                <w:b/>
                <w:i/>
              </w:rPr>
              <w:t>6</w:t>
            </w:r>
          </w:p>
        </w:tc>
      </w:tr>
      <w:tr w:rsidR="00765DDB" w:rsidRPr="00A50A2E" w:rsidTr="00C938D8">
        <w:trPr>
          <w:trHeight w:val="151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DB" w:rsidRPr="00A50A2E" w:rsidRDefault="009F4ED5" w:rsidP="00C938D8">
            <w:pPr>
              <w:jc w:val="both"/>
            </w:pPr>
            <w:r>
              <w:rPr>
                <w:lang w:val="uk-UA"/>
              </w:rPr>
              <w:t>Чистий дохід від реалізації продукції (товарів, робіт,послуг)</w:t>
            </w:r>
            <w:r w:rsidR="00765DDB" w:rsidRPr="00A50A2E">
              <w:t xml:space="preserve">, тис. </w:t>
            </w:r>
            <w:proofErr w:type="spellStart"/>
            <w:r w:rsidR="00765DDB" w:rsidRPr="00A50A2E">
              <w:t>грн</w:t>
            </w:r>
            <w:proofErr w:type="spellEnd"/>
            <w:r w:rsidR="00765DDB" w:rsidRPr="00A50A2E">
              <w:t xml:space="preserve">., </w:t>
            </w:r>
            <w:proofErr w:type="gramStart"/>
            <w:r w:rsidR="00765DDB" w:rsidRPr="00A50A2E">
              <w:t>в</w:t>
            </w:r>
            <w:proofErr w:type="gramEnd"/>
            <w:r w:rsidR="00765DDB" w:rsidRPr="00A50A2E">
              <w:t xml:space="preserve"> тому </w:t>
            </w:r>
            <w:proofErr w:type="spellStart"/>
            <w:r w:rsidR="00765DDB" w:rsidRPr="00A50A2E">
              <w:t>числі</w:t>
            </w:r>
            <w:proofErr w:type="spellEnd"/>
            <w:r w:rsidR="00765DDB" w:rsidRPr="00A50A2E">
              <w:t xml:space="preserve">: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B" w:rsidRPr="00A94FC1" w:rsidRDefault="008F2DEF" w:rsidP="0069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B" w:rsidRPr="00A94FC1" w:rsidRDefault="00304F89" w:rsidP="0069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1</w:t>
            </w:r>
            <w:r w:rsidR="006959E6">
              <w:rPr>
                <w:lang w:val="uk-UA"/>
              </w:rPr>
              <w:t>520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B" w:rsidRPr="00A94FC1" w:rsidRDefault="004E6B34" w:rsidP="0069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1</w:t>
            </w:r>
            <w:r w:rsidR="006959E6">
              <w:rPr>
                <w:lang w:val="uk-UA"/>
              </w:rPr>
              <w:t>8</w:t>
            </w:r>
            <w:r w:rsidR="00A94FC1" w:rsidRPr="00A94FC1">
              <w:rPr>
                <w:lang w:val="uk-UA"/>
              </w:rPr>
              <w:t>84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B" w:rsidRPr="00A94FC1" w:rsidRDefault="004E6B34" w:rsidP="0069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1</w:t>
            </w:r>
            <w:r w:rsidR="006959E6">
              <w:rPr>
                <w:lang w:val="uk-UA"/>
              </w:rPr>
              <w:t>815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DB" w:rsidRPr="00A94FC1" w:rsidRDefault="004E6B34" w:rsidP="0069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1</w:t>
            </w:r>
            <w:r w:rsidR="006959E6">
              <w:rPr>
                <w:lang w:val="uk-UA"/>
              </w:rPr>
              <w:t>631</w:t>
            </w:r>
          </w:p>
        </w:tc>
      </w:tr>
      <w:tr w:rsidR="005A0DDA" w:rsidRPr="00A50A2E" w:rsidTr="00C938D8">
        <w:trPr>
          <w:trHeight w:val="239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DA" w:rsidRPr="00A50A2E" w:rsidRDefault="003E496B" w:rsidP="00C938D8">
            <w:pPr>
              <w:jc w:val="both"/>
            </w:pPr>
            <w:r>
              <w:rPr>
                <w:lang w:val="uk-UA"/>
              </w:rPr>
              <w:t>З</w:t>
            </w:r>
            <w:proofErr w:type="spellStart"/>
            <w:r w:rsidR="005A0DDA" w:rsidRPr="00A50A2E">
              <w:t>ахоронення</w:t>
            </w:r>
            <w:proofErr w:type="spellEnd"/>
            <w:r>
              <w:rPr>
                <w:lang w:val="uk-UA"/>
              </w:rPr>
              <w:t xml:space="preserve"> твердих </w:t>
            </w:r>
            <w:r w:rsidR="005A0DDA" w:rsidRPr="00A50A2E">
              <w:t xml:space="preserve"> </w:t>
            </w:r>
            <w:proofErr w:type="spellStart"/>
            <w:r w:rsidR="005A0DDA" w:rsidRPr="00A50A2E">
              <w:t>побутових</w:t>
            </w:r>
            <w:proofErr w:type="spellEnd"/>
            <w:r w:rsidR="005A0DDA" w:rsidRPr="00A50A2E">
              <w:t xml:space="preserve"> </w:t>
            </w:r>
            <w:proofErr w:type="spellStart"/>
            <w:r w:rsidR="005A0DDA" w:rsidRPr="00A50A2E">
              <w:t>відходів</w:t>
            </w:r>
            <w:proofErr w:type="spellEnd"/>
            <w:r w:rsidR="005A0DDA" w:rsidRPr="00A50A2E">
              <w:t>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9A5350" w:rsidP="0069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DA" w:rsidRPr="00A94FC1" w:rsidRDefault="006959E6" w:rsidP="0069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DA" w:rsidRPr="00A94FC1" w:rsidRDefault="00AD59E6" w:rsidP="0069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DA" w:rsidRPr="00A94FC1" w:rsidRDefault="00AD59E6" w:rsidP="00A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959E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</w:t>
            </w:r>
          </w:p>
        </w:tc>
      </w:tr>
      <w:tr w:rsidR="005A0DDA" w:rsidRPr="00A50A2E" w:rsidTr="00C938D8">
        <w:trPr>
          <w:trHeight w:val="41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A" w:rsidRPr="00A50A2E" w:rsidRDefault="005A0DDA" w:rsidP="00C938D8">
            <w:pPr>
              <w:jc w:val="both"/>
            </w:pPr>
            <w:proofErr w:type="spellStart"/>
            <w:r w:rsidRPr="00A50A2E">
              <w:t>Ритуальні</w:t>
            </w:r>
            <w:proofErr w:type="spellEnd"/>
            <w:r w:rsidRPr="00A50A2E">
              <w:t xml:space="preserve"> </w:t>
            </w:r>
            <w:proofErr w:type="spellStart"/>
            <w:r w:rsidRPr="00A50A2E">
              <w:t>послуги</w:t>
            </w:r>
            <w:proofErr w:type="spellEnd"/>
            <w:r w:rsidRPr="00A50A2E">
              <w:t xml:space="preserve"> та </w:t>
            </w:r>
            <w:proofErr w:type="spellStart"/>
            <w:r w:rsidRPr="00A50A2E">
              <w:t>реалізація</w:t>
            </w:r>
            <w:proofErr w:type="spellEnd"/>
            <w:r w:rsidRPr="00A50A2E">
              <w:t xml:space="preserve"> </w:t>
            </w:r>
            <w:proofErr w:type="spellStart"/>
            <w:r w:rsidRPr="00A50A2E">
              <w:t>предметі</w:t>
            </w:r>
            <w:proofErr w:type="gramStart"/>
            <w:r w:rsidRPr="00A50A2E">
              <w:t>в</w:t>
            </w:r>
            <w:proofErr w:type="spellEnd"/>
            <w:proofErr w:type="gramEnd"/>
            <w:r w:rsidRPr="00A50A2E">
              <w:t xml:space="preserve"> </w:t>
            </w:r>
            <w:proofErr w:type="spellStart"/>
            <w:r w:rsidRPr="00A50A2E">
              <w:t>ритуальної</w:t>
            </w:r>
            <w:proofErr w:type="spellEnd"/>
            <w:r w:rsidRPr="00A50A2E">
              <w:t xml:space="preserve"> </w:t>
            </w:r>
            <w:proofErr w:type="spellStart"/>
            <w:r w:rsidRPr="00A50A2E">
              <w:t>належності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FF0945">
            <w:pPr>
              <w:jc w:val="center"/>
              <w:rPr>
                <w:lang w:val="uk-UA"/>
              </w:rPr>
            </w:pPr>
          </w:p>
          <w:p w:rsidR="005A0DDA" w:rsidRPr="00A94FC1" w:rsidRDefault="00376E84" w:rsidP="0069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1</w:t>
            </w:r>
            <w:r w:rsidR="006959E6">
              <w:rPr>
                <w:lang w:val="uk-UA"/>
              </w:rPr>
              <w:t>640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</w:pPr>
          </w:p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</w:t>
            </w:r>
          </w:p>
          <w:p w:rsidR="005A0DDA" w:rsidRPr="00A94FC1" w:rsidRDefault="005A0DDA" w:rsidP="00C938D8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</w:pPr>
          </w:p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</w:pPr>
          </w:p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</w:pPr>
          </w:p>
          <w:p w:rsidR="005A0DDA" w:rsidRPr="00A94FC1" w:rsidRDefault="00376E84" w:rsidP="00AD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3</w:t>
            </w:r>
            <w:r w:rsidR="00AD59E6">
              <w:rPr>
                <w:lang w:val="uk-UA"/>
              </w:rPr>
              <w:t>94</w:t>
            </w:r>
          </w:p>
        </w:tc>
      </w:tr>
      <w:tr w:rsidR="005A0DDA" w:rsidRPr="00A50A2E" w:rsidTr="00C938D8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A" w:rsidRPr="00A50A2E" w:rsidRDefault="005A0DDA" w:rsidP="00C938D8">
            <w:pPr>
              <w:jc w:val="both"/>
            </w:pPr>
            <w:proofErr w:type="spellStart"/>
            <w:r w:rsidRPr="00A50A2E">
              <w:t>Послуги</w:t>
            </w:r>
            <w:proofErr w:type="spellEnd"/>
            <w:r w:rsidRPr="00A50A2E">
              <w:t xml:space="preserve"> </w:t>
            </w:r>
            <w:proofErr w:type="spellStart"/>
            <w:r w:rsidRPr="00A50A2E">
              <w:t>лазні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6959E6">
            <w:pPr>
              <w:rPr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  <w:rPr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  <w:rPr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  <w:rPr>
                <w:lang w:val="uk-U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5A0DDA" w:rsidP="00C938D8">
            <w:pPr>
              <w:jc w:val="center"/>
              <w:rPr>
                <w:lang w:val="uk-UA"/>
              </w:rPr>
            </w:pPr>
          </w:p>
        </w:tc>
      </w:tr>
      <w:tr w:rsidR="005A0DDA" w:rsidRPr="00A50A2E" w:rsidTr="00C938D8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DA" w:rsidRPr="00A50A2E" w:rsidRDefault="005A0DDA" w:rsidP="00C938D8">
            <w:pPr>
              <w:pStyle w:val="1"/>
              <w:spacing w:line="276" w:lineRule="auto"/>
              <w:ind w:left="34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A2E">
              <w:rPr>
                <w:rFonts w:ascii="Times New Roman" w:hAnsi="Times New Roman"/>
                <w:sz w:val="24"/>
                <w:szCs w:val="24"/>
                <w:lang w:val="uk-UA"/>
              </w:rPr>
              <w:t>Послуги згідно статуту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A94FC1" w:rsidP="006959E6">
            <w:pPr>
              <w:jc w:val="center"/>
              <w:rPr>
                <w:lang w:val="uk-UA"/>
              </w:rPr>
            </w:pPr>
            <w:r w:rsidRPr="00A94FC1">
              <w:rPr>
                <w:lang w:val="uk-UA"/>
              </w:rPr>
              <w:t>2</w:t>
            </w:r>
            <w:r w:rsidR="006959E6">
              <w:rPr>
                <w:lang w:val="uk-UA"/>
              </w:rPr>
              <w:t>739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DA" w:rsidRPr="00A94FC1" w:rsidRDefault="00AD59E6" w:rsidP="00C93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</w:t>
            </w:r>
          </w:p>
        </w:tc>
      </w:tr>
    </w:tbl>
    <w:p w:rsidR="00BD3973" w:rsidRPr="00AC073B" w:rsidRDefault="00BD3973" w:rsidP="008D0033">
      <w:pPr>
        <w:ind w:firstLine="540"/>
        <w:jc w:val="both"/>
        <w:rPr>
          <w:lang w:val="uk-UA"/>
        </w:rPr>
      </w:pPr>
    </w:p>
    <w:p w:rsidR="00D8588F" w:rsidRDefault="00D8588F" w:rsidP="00AD59E6">
      <w:pPr>
        <w:ind w:firstLine="708"/>
        <w:jc w:val="both"/>
        <w:rPr>
          <w:bCs/>
          <w:sz w:val="28"/>
          <w:szCs w:val="28"/>
          <w:lang w:val="uk-UA"/>
        </w:rPr>
      </w:pPr>
      <w:r w:rsidRPr="00091137">
        <w:rPr>
          <w:bCs/>
          <w:sz w:val="28"/>
          <w:szCs w:val="28"/>
          <w:lang w:val="uk-UA"/>
        </w:rPr>
        <w:t xml:space="preserve">Показник «Інші операційні доходи» на 2020 р. становить </w:t>
      </w:r>
      <w:r w:rsidR="00091137" w:rsidRPr="00091137">
        <w:rPr>
          <w:bCs/>
          <w:sz w:val="28"/>
          <w:szCs w:val="28"/>
          <w:lang w:val="uk-UA"/>
        </w:rPr>
        <w:t>1980</w:t>
      </w:r>
      <w:r w:rsidRPr="00091137">
        <w:rPr>
          <w:bCs/>
          <w:sz w:val="28"/>
          <w:szCs w:val="28"/>
          <w:lang w:val="uk-UA"/>
        </w:rPr>
        <w:t xml:space="preserve"> </w:t>
      </w:r>
      <w:proofErr w:type="spellStart"/>
      <w:r w:rsidRPr="00091137">
        <w:rPr>
          <w:bCs/>
          <w:sz w:val="28"/>
          <w:szCs w:val="28"/>
          <w:lang w:val="uk-UA"/>
        </w:rPr>
        <w:t>тис.грн</w:t>
      </w:r>
      <w:proofErr w:type="spellEnd"/>
      <w:r w:rsidRPr="00091137">
        <w:rPr>
          <w:bCs/>
          <w:sz w:val="28"/>
          <w:szCs w:val="28"/>
          <w:lang w:val="uk-UA"/>
        </w:rPr>
        <w:t>. та включає в себе кошти цільового фінансування у розмірі 1980 тис. грн. на погашення штрафних санкцій за несвоєчасну сплату єдиного соціального  внеску</w:t>
      </w:r>
      <w:r w:rsidR="00091137">
        <w:rPr>
          <w:bCs/>
          <w:sz w:val="28"/>
          <w:szCs w:val="28"/>
          <w:lang w:val="uk-UA"/>
        </w:rPr>
        <w:t>.</w:t>
      </w:r>
    </w:p>
    <w:p w:rsidR="00F762D0" w:rsidRPr="00D8588F" w:rsidRDefault="00F762D0" w:rsidP="0055766B">
      <w:pPr>
        <w:ind w:firstLine="708"/>
        <w:jc w:val="both"/>
        <w:rPr>
          <w:bCs/>
          <w:sz w:val="28"/>
          <w:szCs w:val="28"/>
          <w:lang w:val="uk-UA"/>
        </w:rPr>
      </w:pPr>
    </w:p>
    <w:p w:rsidR="00C643B7" w:rsidRPr="00594919" w:rsidRDefault="00E279CF" w:rsidP="004353D6">
      <w:pPr>
        <w:ind w:firstLine="708"/>
        <w:jc w:val="center"/>
        <w:rPr>
          <w:b/>
          <w:sz w:val="28"/>
          <w:szCs w:val="28"/>
          <w:lang w:val="uk-UA"/>
        </w:rPr>
      </w:pPr>
      <w:r w:rsidRPr="00594919">
        <w:rPr>
          <w:b/>
          <w:sz w:val="28"/>
          <w:szCs w:val="28"/>
          <w:lang w:val="uk-UA"/>
        </w:rPr>
        <w:t xml:space="preserve">3. </w:t>
      </w:r>
      <w:r w:rsidR="0055766B">
        <w:rPr>
          <w:b/>
          <w:sz w:val="28"/>
          <w:szCs w:val="28"/>
          <w:lang w:val="uk-UA"/>
        </w:rPr>
        <w:t>Формування витратної частини фінансового плану</w:t>
      </w:r>
      <w:r w:rsidR="0055766B" w:rsidRPr="00B20E7D">
        <w:rPr>
          <w:b/>
          <w:sz w:val="28"/>
          <w:szCs w:val="28"/>
          <w:lang w:val="uk-UA"/>
        </w:rPr>
        <w:t>.</w:t>
      </w:r>
    </w:p>
    <w:p w:rsidR="00C643B7" w:rsidRDefault="00C643B7" w:rsidP="00C643B7">
      <w:pPr>
        <w:pStyle w:val="1"/>
        <w:spacing w:line="276" w:lineRule="auto"/>
        <w:ind w:left="-142"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594919">
        <w:rPr>
          <w:rFonts w:ascii="Times New Roman" w:hAnsi="Times New Roman"/>
          <w:sz w:val="28"/>
          <w:szCs w:val="28"/>
          <w:lang w:val="uk-UA"/>
        </w:rPr>
        <w:t>Планова собівартість реалізованих послуг враховує очікуване помірне зростання тарифів на паль</w:t>
      </w:r>
      <w:r w:rsidR="006A0073" w:rsidRPr="00594919">
        <w:rPr>
          <w:rFonts w:ascii="Times New Roman" w:hAnsi="Times New Roman"/>
          <w:sz w:val="28"/>
          <w:szCs w:val="28"/>
          <w:lang w:val="uk-UA"/>
        </w:rPr>
        <w:t>не, електроенергію, матеріали,</w:t>
      </w:r>
      <w:r w:rsidRPr="00594919">
        <w:rPr>
          <w:rFonts w:ascii="Times New Roman" w:hAnsi="Times New Roman"/>
          <w:sz w:val="28"/>
          <w:szCs w:val="28"/>
          <w:lang w:val="uk-UA"/>
        </w:rPr>
        <w:t xml:space="preserve"> ін. товари, послуги та результат від впровадження заходів на підприємстві щодо стримування зростання собівартості послуг.</w:t>
      </w:r>
    </w:p>
    <w:p w:rsidR="00C32437" w:rsidRDefault="00D22299" w:rsidP="00C3243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Планова ч</w:t>
      </w:r>
      <w:r w:rsidR="00C32437">
        <w:rPr>
          <w:rFonts w:ascii="Times New Roman" w:hAnsi="Times New Roman"/>
          <w:sz w:val="28"/>
          <w:szCs w:val="28"/>
          <w:lang w:val="uk-UA"/>
        </w:rPr>
        <w:t>исельність пер</w:t>
      </w:r>
      <w:r>
        <w:rPr>
          <w:rFonts w:ascii="Times New Roman" w:hAnsi="Times New Roman"/>
          <w:sz w:val="28"/>
          <w:szCs w:val="28"/>
          <w:lang w:val="uk-UA"/>
        </w:rPr>
        <w:t>соналу на 202</w:t>
      </w:r>
      <w:r w:rsidR="00280F5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становить 3</w:t>
      </w:r>
      <w:r w:rsidR="0009113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C32437">
        <w:rPr>
          <w:rFonts w:ascii="Times New Roman" w:hAnsi="Times New Roman"/>
          <w:sz w:val="28"/>
          <w:szCs w:val="28"/>
          <w:lang w:val="uk-UA"/>
        </w:rPr>
        <w:t>, в</w:t>
      </w:r>
      <w:r>
        <w:rPr>
          <w:rFonts w:ascii="Times New Roman" w:hAnsi="Times New Roman"/>
          <w:sz w:val="28"/>
          <w:szCs w:val="28"/>
          <w:lang w:val="uk-UA"/>
        </w:rPr>
        <w:t>ідповідно до діючого з 01.04.20</w:t>
      </w:r>
      <w:r w:rsidR="00280F55">
        <w:rPr>
          <w:rFonts w:ascii="Times New Roman" w:hAnsi="Times New Roman"/>
          <w:sz w:val="28"/>
          <w:szCs w:val="28"/>
          <w:lang w:val="uk-UA"/>
        </w:rPr>
        <w:t>20</w:t>
      </w:r>
      <w:r w:rsidR="00C32437">
        <w:rPr>
          <w:rFonts w:ascii="Times New Roman" w:hAnsi="Times New Roman"/>
          <w:sz w:val="28"/>
          <w:szCs w:val="28"/>
          <w:lang w:val="uk-UA"/>
        </w:rPr>
        <w:t xml:space="preserve"> р. штатного розпису</w:t>
      </w:r>
      <w:r w:rsidR="00F762D0">
        <w:rPr>
          <w:rFonts w:ascii="Times New Roman" w:hAnsi="Times New Roman"/>
          <w:sz w:val="28"/>
          <w:szCs w:val="28"/>
          <w:lang w:val="uk-UA"/>
        </w:rPr>
        <w:t>.</w:t>
      </w:r>
    </w:p>
    <w:p w:rsidR="0023153C" w:rsidRPr="00A94FC1" w:rsidRDefault="00C32437" w:rsidP="00D2229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Планові витрати на оплату праці розра</w:t>
      </w:r>
      <w:r w:rsidR="00D22299">
        <w:rPr>
          <w:rFonts w:ascii="Times New Roman" w:hAnsi="Times New Roman"/>
          <w:sz w:val="28"/>
          <w:szCs w:val="28"/>
          <w:lang w:val="uk-UA"/>
        </w:rPr>
        <w:t>ховані виходячи із встановленого ЗУ «Про Державний бюджет України на 20</w:t>
      </w:r>
      <w:r w:rsidR="00280F55">
        <w:rPr>
          <w:rFonts w:ascii="Times New Roman" w:hAnsi="Times New Roman"/>
          <w:sz w:val="28"/>
          <w:szCs w:val="28"/>
          <w:lang w:val="uk-UA"/>
        </w:rPr>
        <w:t>20</w:t>
      </w:r>
      <w:r w:rsidR="00D22299">
        <w:rPr>
          <w:rFonts w:ascii="Times New Roman" w:hAnsi="Times New Roman"/>
          <w:sz w:val="28"/>
          <w:szCs w:val="28"/>
          <w:lang w:val="uk-UA"/>
        </w:rPr>
        <w:t xml:space="preserve"> р.»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299">
        <w:rPr>
          <w:rFonts w:ascii="Times New Roman" w:hAnsi="Times New Roman"/>
          <w:sz w:val="28"/>
          <w:szCs w:val="28"/>
          <w:lang w:val="uk-UA"/>
        </w:rPr>
        <w:t xml:space="preserve">прожиткового мінімуму для працездатних осіб </w:t>
      </w:r>
      <w:r>
        <w:rPr>
          <w:rFonts w:ascii="Times New Roman" w:hAnsi="Times New Roman"/>
          <w:sz w:val="28"/>
          <w:szCs w:val="28"/>
          <w:lang w:val="uk-UA"/>
        </w:rPr>
        <w:t>з 01.12.2019 р. у розмірі – 2102 грн. а також з дотриманням гарантій Галузевої угоди між Київською обласною радою, Правлінням Київської обласної організації роботодавців, промисловців і підприємців та Київською обласною організацією профспілки працівників житлово-комунального господарства, місцевої промисловості, побутового обслуговування населення на 2017-2021 роки</w:t>
      </w:r>
      <w:r w:rsidRPr="00A94FC1">
        <w:rPr>
          <w:rFonts w:ascii="Times New Roman" w:hAnsi="Times New Roman"/>
          <w:sz w:val="28"/>
          <w:szCs w:val="28"/>
          <w:lang w:val="uk-UA"/>
        </w:rPr>
        <w:t>.</w:t>
      </w:r>
      <w:r w:rsidR="001F206E" w:rsidRPr="00A94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FC1" w:rsidRPr="00A94FC1">
        <w:rPr>
          <w:rFonts w:ascii="Times New Roman" w:hAnsi="Times New Roman"/>
          <w:sz w:val="28"/>
          <w:szCs w:val="28"/>
          <w:lang w:val="uk-UA"/>
        </w:rPr>
        <w:t>Беручи до уваги затверджений з 01.08</w:t>
      </w:r>
      <w:r w:rsidR="00A94FC1">
        <w:rPr>
          <w:rFonts w:ascii="Times New Roman" w:hAnsi="Times New Roman"/>
          <w:sz w:val="28"/>
          <w:szCs w:val="28"/>
          <w:lang w:val="uk-UA"/>
        </w:rPr>
        <w:t>.2019 р. основний вид діяльності підприємства, при плануванні розмірів посадових окладів фахівців, професіоналів і технічних</w:t>
      </w:r>
      <w:r w:rsidR="00D8588F">
        <w:rPr>
          <w:rFonts w:ascii="Times New Roman" w:hAnsi="Times New Roman"/>
          <w:sz w:val="28"/>
          <w:szCs w:val="28"/>
          <w:lang w:val="uk-UA"/>
        </w:rPr>
        <w:t xml:space="preserve"> службовців</w:t>
      </w:r>
      <w:r w:rsidR="00A94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88F">
        <w:rPr>
          <w:rFonts w:ascii="Times New Roman" w:hAnsi="Times New Roman"/>
          <w:sz w:val="28"/>
          <w:szCs w:val="28"/>
          <w:lang w:val="uk-UA"/>
        </w:rPr>
        <w:t>був прийнятий коефіцієнт відповідності 1,58.</w:t>
      </w:r>
    </w:p>
    <w:p w:rsidR="0023153C" w:rsidRDefault="0023153C" w:rsidP="00FB4371">
      <w:pPr>
        <w:ind w:left="7080" w:firstLine="708"/>
        <w:jc w:val="right"/>
        <w:rPr>
          <w:lang w:val="uk-UA"/>
        </w:rPr>
      </w:pPr>
    </w:p>
    <w:p w:rsidR="00FB4371" w:rsidRPr="0078634D" w:rsidRDefault="0055766B" w:rsidP="00FB4371">
      <w:pPr>
        <w:ind w:left="7080" w:firstLine="708"/>
        <w:jc w:val="right"/>
        <w:rPr>
          <w:b/>
          <w:lang w:val="uk-UA"/>
        </w:rPr>
      </w:pPr>
      <w:r>
        <w:rPr>
          <w:b/>
          <w:lang w:val="uk-UA"/>
        </w:rPr>
        <w:t>Таблиця 5</w:t>
      </w:r>
    </w:p>
    <w:p w:rsidR="00FB4371" w:rsidRDefault="00B030F7" w:rsidP="006E38C4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 xml:space="preserve">Аналіз </w:t>
      </w:r>
      <w:r w:rsidR="00FB4371" w:rsidRPr="0078634D">
        <w:rPr>
          <w:b/>
          <w:lang w:val="uk-UA"/>
        </w:rPr>
        <w:t xml:space="preserve"> витрат виробництва</w:t>
      </w:r>
    </w:p>
    <w:p w:rsidR="00F762D0" w:rsidRPr="0078634D" w:rsidRDefault="00F762D0" w:rsidP="006E38C4">
      <w:pPr>
        <w:ind w:firstLine="540"/>
        <w:jc w:val="center"/>
        <w:rPr>
          <w:b/>
          <w:lang w:val="uk-UA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17"/>
        <w:gridCol w:w="1022"/>
        <w:gridCol w:w="851"/>
        <w:gridCol w:w="848"/>
        <w:gridCol w:w="1277"/>
        <w:gridCol w:w="851"/>
        <w:gridCol w:w="993"/>
        <w:gridCol w:w="1277"/>
        <w:gridCol w:w="1134"/>
      </w:tblGrid>
      <w:tr w:rsidR="00F762D0" w:rsidRPr="00AA0B03" w:rsidTr="00F762D0">
        <w:tc>
          <w:tcPr>
            <w:tcW w:w="617" w:type="pct"/>
            <w:vMerge w:val="restar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889" w:type="pct"/>
            <w:gridSpan w:val="2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Фактичне виконання за минулий рік</w:t>
            </w:r>
          </w:p>
        </w:tc>
        <w:tc>
          <w:tcPr>
            <w:tcW w:w="821" w:type="pct"/>
            <w:gridSpan w:val="2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Планові показники поточного року</w:t>
            </w:r>
          </w:p>
        </w:tc>
        <w:tc>
          <w:tcPr>
            <w:tcW w:w="617" w:type="pct"/>
            <w:vMerge w:val="restar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762D0">
              <w:rPr>
                <w:b/>
                <w:sz w:val="20"/>
                <w:szCs w:val="20"/>
                <w:lang w:val="uk-UA"/>
              </w:rPr>
              <w:t>Довідково</w:t>
            </w:r>
            <w:proofErr w:type="spellEnd"/>
            <w:r w:rsidRPr="00F762D0">
              <w:rPr>
                <w:b/>
                <w:sz w:val="20"/>
                <w:szCs w:val="20"/>
                <w:lang w:val="uk-UA"/>
              </w:rPr>
              <w:t>: фактичне виконання за 1 квартал поточного року, тис. грн.</w:t>
            </w:r>
          </w:p>
        </w:tc>
        <w:tc>
          <w:tcPr>
            <w:tcW w:w="891" w:type="pct"/>
            <w:gridSpan w:val="2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Планові показники наступного року</w:t>
            </w:r>
          </w:p>
        </w:tc>
        <w:tc>
          <w:tcPr>
            <w:tcW w:w="1165" w:type="pct"/>
            <w:gridSpan w:val="2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Порівняння структур витрат, відсоткові пункти</w:t>
            </w:r>
          </w:p>
        </w:tc>
      </w:tr>
      <w:tr w:rsidR="00F762D0" w:rsidRPr="00AA0B03" w:rsidTr="00F762D0">
        <w:tc>
          <w:tcPr>
            <w:tcW w:w="617" w:type="pct"/>
            <w:vMerge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5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94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структура витрат, %</w:t>
            </w:r>
          </w:p>
        </w:tc>
        <w:tc>
          <w:tcPr>
            <w:tcW w:w="411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10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структура витрат, %</w:t>
            </w:r>
          </w:p>
        </w:tc>
        <w:tc>
          <w:tcPr>
            <w:tcW w:w="617" w:type="pct"/>
            <w:vMerge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80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структура витрат, %</w:t>
            </w:r>
          </w:p>
        </w:tc>
        <w:tc>
          <w:tcPr>
            <w:tcW w:w="617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план наступного року до фактичних минулого року</w:t>
            </w:r>
          </w:p>
        </w:tc>
        <w:tc>
          <w:tcPr>
            <w:tcW w:w="548" w:type="pct"/>
            <w:vAlign w:val="center"/>
          </w:tcPr>
          <w:p w:rsidR="00FB4371" w:rsidRPr="00F762D0" w:rsidRDefault="00FB4371" w:rsidP="00C938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62D0">
              <w:rPr>
                <w:b/>
                <w:sz w:val="20"/>
                <w:szCs w:val="20"/>
                <w:lang w:val="uk-UA"/>
              </w:rPr>
              <w:t>план наступного року до плану поточного року</w:t>
            </w:r>
          </w:p>
        </w:tc>
      </w:tr>
      <w:tr w:rsidR="00F762D0" w:rsidRPr="00AA0B03" w:rsidTr="00F762D0">
        <w:tc>
          <w:tcPr>
            <w:tcW w:w="617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395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494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411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410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617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411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480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617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548" w:type="pct"/>
            <w:vAlign w:val="center"/>
          </w:tcPr>
          <w:p w:rsidR="00FB4371" w:rsidRPr="00AA0B03" w:rsidRDefault="00FB4371" w:rsidP="00C938D8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A0B03">
              <w:rPr>
                <w:b/>
                <w:i/>
                <w:sz w:val="16"/>
                <w:szCs w:val="16"/>
                <w:lang w:val="uk-UA"/>
              </w:rPr>
              <w:t>10</w:t>
            </w:r>
          </w:p>
        </w:tc>
      </w:tr>
      <w:tr w:rsidR="00F762D0" w:rsidRPr="00AA0B03" w:rsidTr="00F762D0">
        <w:tc>
          <w:tcPr>
            <w:tcW w:w="617" w:type="pct"/>
            <w:vAlign w:val="center"/>
          </w:tcPr>
          <w:p w:rsidR="00402EA3" w:rsidRPr="00F762D0" w:rsidRDefault="00402EA3" w:rsidP="00C938D8">
            <w:pPr>
              <w:jc w:val="both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Витрати всього, тис. грн., в тому числі:</w:t>
            </w:r>
          </w:p>
        </w:tc>
        <w:tc>
          <w:tcPr>
            <w:tcW w:w="395" w:type="pct"/>
          </w:tcPr>
          <w:p w:rsidR="00402EA3" w:rsidRPr="00022AC5" w:rsidRDefault="00F762D0" w:rsidP="00CE0CD7">
            <w:pPr>
              <w:rPr>
                <w:lang w:val="uk-UA"/>
              </w:rPr>
            </w:pPr>
            <w:r w:rsidRPr="00022AC5">
              <w:rPr>
                <w:lang w:val="uk-UA"/>
              </w:rPr>
              <w:t>16082</w:t>
            </w:r>
          </w:p>
        </w:tc>
        <w:tc>
          <w:tcPr>
            <w:tcW w:w="494" w:type="pct"/>
          </w:tcPr>
          <w:p w:rsidR="00402EA3" w:rsidRPr="00022AC5" w:rsidRDefault="00164778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100</w:t>
            </w:r>
          </w:p>
        </w:tc>
        <w:tc>
          <w:tcPr>
            <w:tcW w:w="411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16426</w:t>
            </w:r>
          </w:p>
        </w:tc>
        <w:tc>
          <w:tcPr>
            <w:tcW w:w="410" w:type="pct"/>
          </w:tcPr>
          <w:p w:rsidR="00402EA3" w:rsidRPr="00022AC5" w:rsidRDefault="00402EA3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100</w:t>
            </w:r>
          </w:p>
        </w:tc>
        <w:tc>
          <w:tcPr>
            <w:tcW w:w="617" w:type="pct"/>
          </w:tcPr>
          <w:p w:rsidR="00402EA3" w:rsidRPr="00022AC5" w:rsidRDefault="00304F89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1341</w:t>
            </w:r>
          </w:p>
        </w:tc>
        <w:tc>
          <w:tcPr>
            <w:tcW w:w="411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8788</w:t>
            </w:r>
          </w:p>
          <w:p w:rsidR="00F250E9" w:rsidRPr="00022AC5" w:rsidRDefault="00F250E9" w:rsidP="00C938D8">
            <w:pPr>
              <w:jc w:val="center"/>
              <w:rPr>
                <w:lang w:val="uk-UA"/>
              </w:rPr>
            </w:pPr>
          </w:p>
        </w:tc>
        <w:tc>
          <w:tcPr>
            <w:tcW w:w="480" w:type="pct"/>
          </w:tcPr>
          <w:p w:rsidR="00402EA3" w:rsidRPr="00022AC5" w:rsidRDefault="005B116F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100</w:t>
            </w:r>
          </w:p>
        </w:tc>
        <w:tc>
          <w:tcPr>
            <w:tcW w:w="617" w:type="pct"/>
          </w:tcPr>
          <w:p w:rsidR="00402EA3" w:rsidRPr="00F762D0" w:rsidRDefault="00402EA3" w:rsidP="002F76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</w:tcPr>
          <w:p w:rsidR="00402EA3" w:rsidRPr="00F762D0" w:rsidRDefault="00402EA3" w:rsidP="00C938D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62D0" w:rsidRPr="00AA0B03" w:rsidTr="00F762D0">
        <w:trPr>
          <w:trHeight w:val="301"/>
        </w:trPr>
        <w:tc>
          <w:tcPr>
            <w:tcW w:w="617" w:type="pct"/>
          </w:tcPr>
          <w:p w:rsidR="00402EA3" w:rsidRPr="00F762D0" w:rsidRDefault="00402EA3" w:rsidP="00C938D8">
            <w:pPr>
              <w:jc w:val="both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Матеріальні витрати</w:t>
            </w:r>
          </w:p>
        </w:tc>
        <w:tc>
          <w:tcPr>
            <w:tcW w:w="395" w:type="pct"/>
          </w:tcPr>
          <w:p w:rsidR="00402EA3" w:rsidRPr="00022AC5" w:rsidRDefault="00F762D0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2257</w:t>
            </w:r>
          </w:p>
        </w:tc>
        <w:tc>
          <w:tcPr>
            <w:tcW w:w="494" w:type="pct"/>
          </w:tcPr>
          <w:p w:rsidR="00402EA3" w:rsidRPr="00022AC5" w:rsidRDefault="00FE447C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</w:t>
            </w:r>
            <w:r w:rsidR="00F762D0" w:rsidRPr="00022AC5">
              <w:rPr>
                <w:lang w:val="uk-UA"/>
              </w:rPr>
              <w:t>4</w:t>
            </w:r>
          </w:p>
        </w:tc>
        <w:tc>
          <w:tcPr>
            <w:tcW w:w="411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2109</w:t>
            </w:r>
          </w:p>
        </w:tc>
        <w:tc>
          <w:tcPr>
            <w:tcW w:w="410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13</w:t>
            </w:r>
          </w:p>
        </w:tc>
        <w:tc>
          <w:tcPr>
            <w:tcW w:w="617" w:type="pct"/>
          </w:tcPr>
          <w:p w:rsidR="00402EA3" w:rsidRPr="00022AC5" w:rsidRDefault="00304F89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262</w:t>
            </w:r>
          </w:p>
        </w:tc>
        <w:tc>
          <w:tcPr>
            <w:tcW w:w="411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1520</w:t>
            </w:r>
          </w:p>
        </w:tc>
        <w:tc>
          <w:tcPr>
            <w:tcW w:w="480" w:type="pct"/>
          </w:tcPr>
          <w:p w:rsidR="00402EA3" w:rsidRPr="00022AC5" w:rsidRDefault="002E2F4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</w:t>
            </w:r>
            <w:r w:rsidR="00022AC5" w:rsidRPr="00022AC5">
              <w:rPr>
                <w:lang w:val="uk-UA"/>
              </w:rPr>
              <w:t>7</w:t>
            </w:r>
          </w:p>
        </w:tc>
        <w:tc>
          <w:tcPr>
            <w:tcW w:w="617" w:type="pct"/>
          </w:tcPr>
          <w:p w:rsidR="00402EA3" w:rsidRPr="00F762D0" w:rsidRDefault="00022AC5" w:rsidP="002F76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8" w:type="pct"/>
          </w:tcPr>
          <w:p w:rsidR="00402EA3" w:rsidRPr="00F762D0" w:rsidRDefault="00022AC5" w:rsidP="00C938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F762D0" w:rsidRPr="00AA0B03" w:rsidTr="00F762D0">
        <w:tc>
          <w:tcPr>
            <w:tcW w:w="617" w:type="pct"/>
          </w:tcPr>
          <w:p w:rsidR="00402EA3" w:rsidRPr="00F762D0" w:rsidRDefault="00402EA3" w:rsidP="00C938D8">
            <w:pPr>
              <w:jc w:val="both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395" w:type="pct"/>
          </w:tcPr>
          <w:p w:rsidR="00402EA3" w:rsidRPr="00022AC5" w:rsidRDefault="00FE447C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3091</w:t>
            </w:r>
          </w:p>
        </w:tc>
        <w:tc>
          <w:tcPr>
            <w:tcW w:w="494" w:type="pct"/>
          </w:tcPr>
          <w:p w:rsidR="00402EA3" w:rsidRPr="00022AC5" w:rsidRDefault="00F762D0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19</w:t>
            </w:r>
          </w:p>
        </w:tc>
        <w:tc>
          <w:tcPr>
            <w:tcW w:w="411" w:type="pct"/>
          </w:tcPr>
          <w:p w:rsidR="00402EA3" w:rsidRPr="00022AC5" w:rsidRDefault="00CE0CD7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</w:t>
            </w:r>
            <w:r w:rsidR="00304F89" w:rsidRPr="00022AC5">
              <w:rPr>
                <w:lang w:val="uk-UA"/>
              </w:rPr>
              <w:t>524</w:t>
            </w:r>
          </w:p>
        </w:tc>
        <w:tc>
          <w:tcPr>
            <w:tcW w:w="410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15</w:t>
            </w:r>
          </w:p>
        </w:tc>
        <w:tc>
          <w:tcPr>
            <w:tcW w:w="617" w:type="pct"/>
          </w:tcPr>
          <w:p w:rsidR="00402EA3" w:rsidRPr="00022AC5" w:rsidRDefault="00304F89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841</w:t>
            </w:r>
          </w:p>
        </w:tc>
        <w:tc>
          <w:tcPr>
            <w:tcW w:w="411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3824</w:t>
            </w:r>
          </w:p>
        </w:tc>
        <w:tc>
          <w:tcPr>
            <w:tcW w:w="480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44</w:t>
            </w:r>
          </w:p>
          <w:p w:rsidR="005B116F" w:rsidRPr="00022AC5" w:rsidRDefault="005B116F" w:rsidP="00C938D8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402EA3" w:rsidRPr="00F762D0" w:rsidRDefault="00022AC5" w:rsidP="002F76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48" w:type="pct"/>
          </w:tcPr>
          <w:p w:rsidR="00402EA3" w:rsidRPr="00F762D0" w:rsidRDefault="00022AC5" w:rsidP="00C938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</w:tr>
      <w:tr w:rsidR="00F762D0" w:rsidRPr="00AA0B03" w:rsidTr="00F762D0">
        <w:trPr>
          <w:trHeight w:val="467"/>
        </w:trPr>
        <w:tc>
          <w:tcPr>
            <w:tcW w:w="617" w:type="pct"/>
          </w:tcPr>
          <w:p w:rsidR="00402EA3" w:rsidRPr="00F762D0" w:rsidRDefault="00402EA3" w:rsidP="00C938D8">
            <w:pPr>
              <w:jc w:val="both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395" w:type="pct"/>
          </w:tcPr>
          <w:p w:rsidR="00402EA3" w:rsidRPr="00022AC5" w:rsidRDefault="00B92003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6</w:t>
            </w:r>
            <w:r w:rsidR="00FE447C" w:rsidRPr="00022AC5">
              <w:rPr>
                <w:lang w:val="uk-UA"/>
              </w:rPr>
              <w:t>34</w:t>
            </w:r>
          </w:p>
        </w:tc>
        <w:tc>
          <w:tcPr>
            <w:tcW w:w="494" w:type="pct"/>
          </w:tcPr>
          <w:p w:rsidR="00402EA3" w:rsidRPr="00022AC5" w:rsidRDefault="00FE447C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4</w:t>
            </w:r>
          </w:p>
        </w:tc>
        <w:tc>
          <w:tcPr>
            <w:tcW w:w="411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556</w:t>
            </w:r>
          </w:p>
        </w:tc>
        <w:tc>
          <w:tcPr>
            <w:tcW w:w="410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3</w:t>
            </w:r>
          </w:p>
        </w:tc>
        <w:tc>
          <w:tcPr>
            <w:tcW w:w="617" w:type="pct"/>
          </w:tcPr>
          <w:p w:rsidR="00402EA3" w:rsidRPr="00022AC5" w:rsidRDefault="006B3CFA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</w:t>
            </w:r>
            <w:r w:rsidR="00304F89" w:rsidRPr="00022AC5">
              <w:rPr>
                <w:lang w:val="uk-UA"/>
              </w:rPr>
              <w:t>85</w:t>
            </w:r>
          </w:p>
        </w:tc>
        <w:tc>
          <w:tcPr>
            <w:tcW w:w="411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833</w:t>
            </w:r>
          </w:p>
        </w:tc>
        <w:tc>
          <w:tcPr>
            <w:tcW w:w="480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9</w:t>
            </w:r>
          </w:p>
          <w:p w:rsidR="005B116F" w:rsidRPr="00022AC5" w:rsidRDefault="005B116F" w:rsidP="00C938D8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402EA3" w:rsidRPr="00F762D0" w:rsidRDefault="00022AC5" w:rsidP="002F76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6E38C4" w:rsidRPr="00F762D0" w:rsidRDefault="006E38C4" w:rsidP="002F76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8" w:type="pct"/>
          </w:tcPr>
          <w:p w:rsidR="00402EA3" w:rsidRPr="00F762D0" w:rsidRDefault="00022AC5" w:rsidP="00C938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F762D0" w:rsidRPr="00AA0B03" w:rsidTr="00F762D0">
        <w:trPr>
          <w:trHeight w:val="231"/>
        </w:trPr>
        <w:tc>
          <w:tcPr>
            <w:tcW w:w="617" w:type="pct"/>
          </w:tcPr>
          <w:p w:rsidR="00402EA3" w:rsidRPr="00F762D0" w:rsidRDefault="00402EA3" w:rsidP="00C938D8">
            <w:pPr>
              <w:jc w:val="both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395" w:type="pct"/>
          </w:tcPr>
          <w:p w:rsidR="00402EA3" w:rsidRPr="00022AC5" w:rsidRDefault="00B92003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</w:t>
            </w:r>
            <w:r w:rsidR="00FE447C" w:rsidRPr="00022AC5">
              <w:rPr>
                <w:lang w:val="uk-UA"/>
              </w:rPr>
              <w:t>67</w:t>
            </w:r>
          </w:p>
        </w:tc>
        <w:tc>
          <w:tcPr>
            <w:tcW w:w="494" w:type="pct"/>
          </w:tcPr>
          <w:p w:rsidR="00402EA3" w:rsidRPr="00022AC5" w:rsidRDefault="00F762D0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</w:t>
            </w:r>
          </w:p>
        </w:tc>
        <w:tc>
          <w:tcPr>
            <w:tcW w:w="411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337</w:t>
            </w:r>
          </w:p>
        </w:tc>
        <w:tc>
          <w:tcPr>
            <w:tcW w:w="410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</w:t>
            </w:r>
          </w:p>
        </w:tc>
        <w:tc>
          <w:tcPr>
            <w:tcW w:w="617" w:type="pct"/>
          </w:tcPr>
          <w:p w:rsidR="00402EA3" w:rsidRPr="00022AC5" w:rsidRDefault="00304F89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53</w:t>
            </w:r>
          </w:p>
        </w:tc>
        <w:tc>
          <w:tcPr>
            <w:tcW w:w="411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181</w:t>
            </w:r>
          </w:p>
        </w:tc>
        <w:tc>
          <w:tcPr>
            <w:tcW w:w="480" w:type="pct"/>
          </w:tcPr>
          <w:p w:rsidR="00402EA3" w:rsidRPr="00022AC5" w:rsidRDefault="002E2F4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</w:t>
            </w:r>
          </w:p>
        </w:tc>
        <w:tc>
          <w:tcPr>
            <w:tcW w:w="617" w:type="pct"/>
          </w:tcPr>
          <w:p w:rsidR="006E38C4" w:rsidRPr="00F762D0" w:rsidRDefault="00022AC5" w:rsidP="002F76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48" w:type="pct"/>
          </w:tcPr>
          <w:p w:rsidR="00402EA3" w:rsidRPr="00F762D0" w:rsidRDefault="00022AC5" w:rsidP="00C938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762D0" w:rsidRPr="00AA0B03" w:rsidTr="00F762D0">
        <w:trPr>
          <w:trHeight w:val="320"/>
        </w:trPr>
        <w:tc>
          <w:tcPr>
            <w:tcW w:w="617" w:type="pct"/>
          </w:tcPr>
          <w:p w:rsidR="00402EA3" w:rsidRPr="00F762D0" w:rsidRDefault="00402EA3" w:rsidP="00C938D8">
            <w:pPr>
              <w:jc w:val="both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395" w:type="pct"/>
          </w:tcPr>
          <w:p w:rsidR="00402EA3" w:rsidRPr="00022AC5" w:rsidRDefault="00F762D0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9833</w:t>
            </w:r>
          </w:p>
        </w:tc>
        <w:tc>
          <w:tcPr>
            <w:tcW w:w="494" w:type="pct"/>
          </w:tcPr>
          <w:p w:rsidR="00402EA3" w:rsidRPr="00022AC5" w:rsidRDefault="00FE447C" w:rsidP="00CE0CD7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6</w:t>
            </w:r>
            <w:r w:rsidR="00F762D0" w:rsidRPr="00022AC5">
              <w:rPr>
                <w:lang w:val="uk-UA"/>
              </w:rPr>
              <w:t>1</w:t>
            </w:r>
          </w:p>
        </w:tc>
        <w:tc>
          <w:tcPr>
            <w:tcW w:w="411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10900</w:t>
            </w:r>
          </w:p>
        </w:tc>
        <w:tc>
          <w:tcPr>
            <w:tcW w:w="410" w:type="pct"/>
          </w:tcPr>
          <w:p w:rsidR="00402EA3" w:rsidRPr="00022AC5" w:rsidRDefault="00304F89" w:rsidP="00FF0945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67</w:t>
            </w:r>
          </w:p>
        </w:tc>
        <w:tc>
          <w:tcPr>
            <w:tcW w:w="617" w:type="pct"/>
          </w:tcPr>
          <w:p w:rsidR="00402EA3" w:rsidRPr="00022AC5" w:rsidRDefault="00304F89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-</w:t>
            </w:r>
          </w:p>
        </w:tc>
        <w:tc>
          <w:tcPr>
            <w:tcW w:w="411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2430</w:t>
            </w:r>
          </w:p>
        </w:tc>
        <w:tc>
          <w:tcPr>
            <w:tcW w:w="480" w:type="pct"/>
          </w:tcPr>
          <w:p w:rsidR="00402EA3" w:rsidRPr="00022AC5" w:rsidRDefault="00022AC5" w:rsidP="00C938D8">
            <w:pPr>
              <w:jc w:val="center"/>
              <w:rPr>
                <w:lang w:val="uk-UA"/>
              </w:rPr>
            </w:pPr>
            <w:r w:rsidRPr="00022AC5">
              <w:rPr>
                <w:lang w:val="uk-UA"/>
              </w:rPr>
              <w:t>28</w:t>
            </w:r>
          </w:p>
        </w:tc>
        <w:tc>
          <w:tcPr>
            <w:tcW w:w="617" w:type="pct"/>
          </w:tcPr>
          <w:p w:rsidR="00402EA3" w:rsidRPr="00F762D0" w:rsidRDefault="002F762A" w:rsidP="002F762A">
            <w:pPr>
              <w:jc w:val="center"/>
              <w:rPr>
                <w:sz w:val="20"/>
                <w:szCs w:val="20"/>
                <w:lang w:val="uk-UA"/>
              </w:rPr>
            </w:pPr>
            <w:r w:rsidRPr="00F762D0">
              <w:rPr>
                <w:sz w:val="20"/>
                <w:szCs w:val="20"/>
                <w:lang w:val="uk-UA"/>
              </w:rPr>
              <w:t>-</w:t>
            </w:r>
            <w:r w:rsidR="00022AC5">
              <w:rPr>
                <w:sz w:val="20"/>
                <w:szCs w:val="20"/>
                <w:lang w:val="uk-UA"/>
              </w:rPr>
              <w:t xml:space="preserve"> 33</w:t>
            </w:r>
          </w:p>
        </w:tc>
        <w:tc>
          <w:tcPr>
            <w:tcW w:w="548" w:type="pct"/>
          </w:tcPr>
          <w:p w:rsidR="00402EA3" w:rsidRPr="00F762D0" w:rsidRDefault="00022AC5" w:rsidP="00C938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-39</w:t>
            </w:r>
          </w:p>
        </w:tc>
      </w:tr>
    </w:tbl>
    <w:p w:rsidR="00945B34" w:rsidRDefault="00945B34" w:rsidP="00945B34">
      <w:pPr>
        <w:ind w:firstLine="540"/>
        <w:jc w:val="both"/>
        <w:rPr>
          <w:sz w:val="28"/>
          <w:szCs w:val="28"/>
          <w:lang w:val="uk-UA"/>
        </w:rPr>
      </w:pPr>
    </w:p>
    <w:p w:rsidR="00BD3973" w:rsidRPr="00FB2875" w:rsidRDefault="00FB2875" w:rsidP="00FB287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Витрати на оплату праці</w:t>
      </w:r>
      <w:r w:rsidR="00FE447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показник відрахувань на соціальні заходи</w:t>
      </w:r>
      <w:r w:rsidR="00FE447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збільшилися в зв</w:t>
      </w:r>
      <w:r w:rsidR="00F13FF8">
        <w:rPr>
          <w:rFonts w:ascii="Times New Roman" w:hAnsi="Times New Roman"/>
          <w:sz w:val="28"/>
          <w:szCs w:val="28"/>
          <w:lang w:val="uk-UA"/>
        </w:rPr>
        <w:t>’язку із зміною прожиткового мінімуму</w:t>
      </w:r>
      <w:r w:rsidR="00022AC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60C6">
        <w:rPr>
          <w:rFonts w:ascii="Times New Roman" w:hAnsi="Times New Roman"/>
          <w:sz w:val="28"/>
          <w:szCs w:val="28"/>
          <w:lang w:val="uk-UA"/>
        </w:rPr>
        <w:t>норм Галузевої угоди</w:t>
      </w:r>
      <w:r w:rsidR="00F13F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AC5">
        <w:rPr>
          <w:rFonts w:ascii="Times New Roman" w:hAnsi="Times New Roman"/>
          <w:sz w:val="28"/>
          <w:szCs w:val="28"/>
          <w:lang w:val="uk-UA"/>
        </w:rPr>
        <w:t>та основного виду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875" w:rsidRDefault="00CF62A8" w:rsidP="0023153C">
      <w:pPr>
        <w:ind w:firstLine="708"/>
        <w:jc w:val="both"/>
        <w:rPr>
          <w:sz w:val="28"/>
          <w:szCs w:val="28"/>
          <w:lang w:val="uk-UA"/>
        </w:rPr>
      </w:pPr>
      <w:r w:rsidRPr="001A7708">
        <w:rPr>
          <w:sz w:val="28"/>
          <w:szCs w:val="28"/>
          <w:lang w:val="uk-UA"/>
        </w:rPr>
        <w:t>Існуючий р</w:t>
      </w:r>
      <w:r w:rsidR="003A79F3" w:rsidRPr="001A7708">
        <w:rPr>
          <w:sz w:val="28"/>
          <w:szCs w:val="28"/>
          <w:lang w:val="uk-UA"/>
        </w:rPr>
        <w:t xml:space="preserve">инковий попит на </w:t>
      </w:r>
      <w:r w:rsidRPr="001A7708">
        <w:rPr>
          <w:sz w:val="28"/>
          <w:szCs w:val="28"/>
          <w:lang w:val="uk-UA"/>
        </w:rPr>
        <w:t>послуги підприємства</w:t>
      </w:r>
      <w:r w:rsidR="00A31E4A" w:rsidRPr="001A7708">
        <w:rPr>
          <w:sz w:val="28"/>
          <w:szCs w:val="28"/>
          <w:lang w:val="uk-UA"/>
        </w:rPr>
        <w:t xml:space="preserve"> </w:t>
      </w:r>
      <w:r w:rsidR="006C0084">
        <w:rPr>
          <w:sz w:val="28"/>
          <w:szCs w:val="28"/>
          <w:lang w:val="uk-UA"/>
        </w:rPr>
        <w:t xml:space="preserve"> задовольняється повністю та не потребує нарощування виробничих потужностей</w:t>
      </w:r>
      <w:r w:rsidR="003A79F3" w:rsidRPr="001A7708">
        <w:rPr>
          <w:sz w:val="28"/>
          <w:szCs w:val="28"/>
          <w:lang w:val="uk-UA"/>
        </w:rPr>
        <w:t xml:space="preserve"> на даному </w:t>
      </w:r>
      <w:r w:rsidR="006C0084">
        <w:rPr>
          <w:sz w:val="28"/>
          <w:szCs w:val="28"/>
          <w:lang w:val="uk-UA"/>
        </w:rPr>
        <w:t>підприємстві, однак потребує збільшення кількості споживачів послуг.</w:t>
      </w:r>
    </w:p>
    <w:p w:rsidR="0023153C" w:rsidRPr="0023153C" w:rsidRDefault="0023153C" w:rsidP="00022AC5">
      <w:pPr>
        <w:ind w:firstLine="708"/>
        <w:jc w:val="center"/>
        <w:rPr>
          <w:sz w:val="28"/>
          <w:szCs w:val="28"/>
          <w:lang w:val="uk-UA"/>
        </w:rPr>
      </w:pPr>
    </w:p>
    <w:p w:rsidR="00E03B79" w:rsidRDefault="00E03B79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</w:p>
    <w:p w:rsidR="00E03B79" w:rsidRDefault="00E03B79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</w:p>
    <w:p w:rsidR="00E03B79" w:rsidRDefault="00E03B79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</w:p>
    <w:p w:rsidR="00587AE8" w:rsidRDefault="00587AE8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</w:p>
    <w:p w:rsidR="00587AE8" w:rsidRDefault="00587AE8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</w:p>
    <w:p w:rsidR="00E03B79" w:rsidRDefault="00E03B79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</w:p>
    <w:p w:rsidR="00FB2875" w:rsidRPr="009809D0" w:rsidRDefault="00FB2875" w:rsidP="00022AC5">
      <w:pPr>
        <w:autoSpaceDE w:val="0"/>
        <w:autoSpaceDN w:val="0"/>
        <w:adjustRightInd w:val="0"/>
        <w:ind w:firstLine="708"/>
        <w:jc w:val="center"/>
        <w:rPr>
          <w:rFonts w:eastAsia="TT19CFo00"/>
          <w:b/>
          <w:sz w:val="28"/>
          <w:szCs w:val="28"/>
          <w:lang w:val="uk-UA"/>
        </w:rPr>
      </w:pPr>
      <w:r w:rsidRPr="009809D0">
        <w:rPr>
          <w:rFonts w:eastAsia="TT19CFo00"/>
          <w:b/>
          <w:sz w:val="28"/>
          <w:szCs w:val="28"/>
          <w:lang w:val="uk-UA"/>
        </w:rPr>
        <w:lastRenderedPageBreak/>
        <w:t xml:space="preserve">4. </w:t>
      </w:r>
      <w:r>
        <w:rPr>
          <w:rFonts w:eastAsia="TT19CFo00"/>
          <w:b/>
          <w:sz w:val="28"/>
          <w:szCs w:val="28"/>
          <w:lang w:val="uk-UA"/>
        </w:rPr>
        <w:t>Очікувані ф</w:t>
      </w:r>
      <w:r w:rsidRPr="009809D0">
        <w:rPr>
          <w:rFonts w:eastAsia="TT19CFo00"/>
          <w:b/>
          <w:sz w:val="28"/>
          <w:szCs w:val="28"/>
          <w:lang w:val="uk-UA"/>
        </w:rPr>
        <w:t>інансові результати</w:t>
      </w:r>
    </w:p>
    <w:p w:rsidR="00FB2875" w:rsidRPr="00793CB6" w:rsidRDefault="00FB2875" w:rsidP="00FB2875">
      <w:pPr>
        <w:pStyle w:val="a7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Таблиця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384"/>
        <w:gridCol w:w="1519"/>
        <w:gridCol w:w="1375"/>
        <w:gridCol w:w="1322"/>
        <w:gridCol w:w="1322"/>
      </w:tblGrid>
      <w:tr w:rsidR="0010121A" w:rsidRPr="001F03E7" w:rsidTr="0010121A">
        <w:tc>
          <w:tcPr>
            <w:tcW w:w="1392" w:type="pct"/>
          </w:tcPr>
          <w:p w:rsidR="0010121A" w:rsidRPr="00E257E9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7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731" w:type="pct"/>
          </w:tcPr>
          <w:p w:rsidR="0010121A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</w:t>
            </w:r>
          </w:p>
          <w:p w:rsidR="0010121A" w:rsidRPr="00E257E9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минулого року</w:t>
            </w:r>
          </w:p>
        </w:tc>
        <w:tc>
          <w:tcPr>
            <w:tcW w:w="794" w:type="pct"/>
          </w:tcPr>
          <w:p w:rsidR="0010121A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Фінансовий план поточного року</w:t>
            </w:r>
          </w:p>
        </w:tc>
        <w:tc>
          <w:tcPr>
            <w:tcW w:w="731" w:type="pct"/>
          </w:tcPr>
          <w:p w:rsidR="0010121A" w:rsidRPr="00E257E9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 на поточний рік</w:t>
            </w:r>
          </w:p>
        </w:tc>
        <w:tc>
          <w:tcPr>
            <w:tcW w:w="691" w:type="pct"/>
          </w:tcPr>
          <w:p w:rsidR="0010121A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Плановий рік</w:t>
            </w:r>
          </w:p>
        </w:tc>
        <w:tc>
          <w:tcPr>
            <w:tcW w:w="662" w:type="pct"/>
          </w:tcPr>
          <w:p w:rsidR="0010121A" w:rsidRDefault="0010121A" w:rsidP="0010121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Плановий рік до прогнозу на поточний рік,%</w:t>
            </w:r>
          </w:p>
        </w:tc>
      </w:tr>
      <w:tr w:rsidR="0010121A" w:rsidRPr="001F03E7" w:rsidTr="0010121A">
        <w:tc>
          <w:tcPr>
            <w:tcW w:w="1392" w:type="pct"/>
          </w:tcPr>
          <w:p w:rsidR="0010121A" w:rsidRDefault="0010121A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1355">
              <w:rPr>
                <w:rFonts w:ascii="Times New Roman" w:hAnsi="Times New Roman"/>
                <w:sz w:val="24"/>
                <w:szCs w:val="24"/>
                <w:lang w:val="uk-UA"/>
              </w:rPr>
              <w:t>Чистий дохід від реалізації продукції (товарів, робіт, послуг)</w:t>
            </w:r>
          </w:p>
          <w:p w:rsidR="004353D6" w:rsidRPr="00BD1355" w:rsidRDefault="004353D6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1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03B79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6642</w:t>
            </w:r>
          </w:p>
        </w:tc>
        <w:tc>
          <w:tcPr>
            <w:tcW w:w="794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03B79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6564</w:t>
            </w:r>
          </w:p>
        </w:tc>
        <w:tc>
          <w:tcPr>
            <w:tcW w:w="731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03B79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6820</w:t>
            </w:r>
          </w:p>
        </w:tc>
        <w:tc>
          <w:tcPr>
            <w:tcW w:w="691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587AE8" w:rsidP="00E03B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7195</w:t>
            </w:r>
          </w:p>
        </w:tc>
        <w:tc>
          <w:tcPr>
            <w:tcW w:w="662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585A1E" w:rsidP="00A407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</w:tr>
      <w:tr w:rsidR="0010121A" w:rsidRPr="001F03E7" w:rsidTr="0010121A">
        <w:tc>
          <w:tcPr>
            <w:tcW w:w="1392" w:type="pct"/>
          </w:tcPr>
          <w:p w:rsidR="0010121A" w:rsidRDefault="0010121A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1355">
              <w:rPr>
                <w:rFonts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  <w:p w:rsidR="004353D6" w:rsidRPr="00BD1355" w:rsidRDefault="004353D6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1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E2536" w:rsidP="00E03B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03B79">
              <w:rPr>
                <w:rFonts w:ascii="Times New Roman" w:hAnsi="Times New Roman"/>
                <w:sz w:val="24"/>
                <w:szCs w:val="24"/>
                <w:lang w:val="uk-UA"/>
              </w:rPr>
              <w:t>6031</w:t>
            </w:r>
          </w:p>
        </w:tc>
        <w:tc>
          <w:tcPr>
            <w:tcW w:w="794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E2536" w:rsidP="00E03B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03B79">
              <w:rPr>
                <w:rFonts w:ascii="Times New Roman" w:hAnsi="Times New Roman"/>
                <w:sz w:val="24"/>
                <w:szCs w:val="24"/>
                <w:lang w:val="uk-UA"/>
              </w:rPr>
              <w:t>5139</w:t>
            </w:r>
          </w:p>
        </w:tc>
        <w:tc>
          <w:tcPr>
            <w:tcW w:w="731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E2536" w:rsidP="00E03B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03B79">
              <w:rPr>
                <w:rFonts w:ascii="Times New Roman" w:hAnsi="Times New Roman"/>
                <w:sz w:val="24"/>
                <w:szCs w:val="24"/>
                <w:lang w:val="uk-UA"/>
              </w:rPr>
              <w:t>6054</w:t>
            </w:r>
          </w:p>
        </w:tc>
        <w:tc>
          <w:tcPr>
            <w:tcW w:w="691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EE2536" w:rsidP="00871C9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71C96">
              <w:rPr>
                <w:rFonts w:ascii="Times New Roman" w:hAnsi="Times New Roman"/>
                <w:sz w:val="24"/>
                <w:szCs w:val="24"/>
                <w:lang w:val="uk-UA"/>
              </w:rPr>
              <w:t>5898</w:t>
            </w:r>
          </w:p>
        </w:tc>
        <w:tc>
          <w:tcPr>
            <w:tcW w:w="662" w:type="pct"/>
          </w:tcPr>
          <w:p w:rsidR="0010121A" w:rsidRPr="004353D6" w:rsidRDefault="0010121A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21A" w:rsidRPr="004353D6" w:rsidRDefault="00BE306B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</w:tr>
      <w:tr w:rsidR="0010121A" w:rsidRPr="001F03E7" w:rsidTr="0010121A">
        <w:tc>
          <w:tcPr>
            <w:tcW w:w="1392" w:type="pct"/>
          </w:tcPr>
          <w:p w:rsidR="0010121A" w:rsidRDefault="0010121A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Валовий прибуток/збиток</w:t>
            </w:r>
          </w:p>
          <w:p w:rsidR="004353D6" w:rsidRPr="00BD1355" w:rsidRDefault="004353D6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1" w:type="pct"/>
          </w:tcPr>
          <w:p w:rsidR="0010121A" w:rsidRPr="004353D6" w:rsidRDefault="009647F2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683</w:t>
            </w:r>
          </w:p>
        </w:tc>
        <w:tc>
          <w:tcPr>
            <w:tcW w:w="794" w:type="pct"/>
          </w:tcPr>
          <w:p w:rsidR="0010121A" w:rsidRPr="004353D6" w:rsidRDefault="009647F2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1425</w:t>
            </w:r>
          </w:p>
        </w:tc>
        <w:tc>
          <w:tcPr>
            <w:tcW w:w="731" w:type="pct"/>
          </w:tcPr>
          <w:p w:rsidR="0010121A" w:rsidRPr="004353D6" w:rsidRDefault="009647F2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766</w:t>
            </w:r>
          </w:p>
        </w:tc>
        <w:tc>
          <w:tcPr>
            <w:tcW w:w="691" w:type="pct"/>
          </w:tcPr>
          <w:p w:rsidR="0010121A" w:rsidRPr="004353D6" w:rsidRDefault="00587AE8" w:rsidP="00A407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1297</w:t>
            </w:r>
          </w:p>
        </w:tc>
        <w:tc>
          <w:tcPr>
            <w:tcW w:w="662" w:type="pct"/>
          </w:tcPr>
          <w:p w:rsidR="0010121A" w:rsidRPr="004353D6" w:rsidRDefault="00BE306B" w:rsidP="00BE30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10121A" w:rsidRPr="001F03E7" w:rsidTr="0010121A">
        <w:tc>
          <w:tcPr>
            <w:tcW w:w="1392" w:type="pct"/>
          </w:tcPr>
          <w:p w:rsidR="0010121A" w:rsidRDefault="0010121A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Чистий фінансовий результат</w:t>
            </w:r>
          </w:p>
          <w:p w:rsidR="004353D6" w:rsidRDefault="004353D6" w:rsidP="001012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1" w:type="pct"/>
          </w:tcPr>
          <w:p w:rsidR="0010121A" w:rsidRPr="004353D6" w:rsidRDefault="00EE2536" w:rsidP="009647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647F2"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794" w:type="pct"/>
          </w:tcPr>
          <w:p w:rsidR="0010121A" w:rsidRPr="004353D6" w:rsidRDefault="009647F2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731" w:type="pct"/>
          </w:tcPr>
          <w:p w:rsidR="0010121A" w:rsidRPr="004353D6" w:rsidRDefault="009647F2" w:rsidP="009647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-467</w:t>
            </w:r>
          </w:p>
        </w:tc>
        <w:tc>
          <w:tcPr>
            <w:tcW w:w="691" w:type="pct"/>
          </w:tcPr>
          <w:p w:rsidR="0010121A" w:rsidRPr="004353D6" w:rsidRDefault="00587AE8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62" w:type="pct"/>
          </w:tcPr>
          <w:p w:rsidR="0010121A" w:rsidRPr="004353D6" w:rsidRDefault="00BE306B" w:rsidP="001012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</w:tr>
    </w:tbl>
    <w:p w:rsidR="0053387B" w:rsidRDefault="0053387B" w:rsidP="00FB2875">
      <w:pPr>
        <w:autoSpaceDE w:val="0"/>
        <w:autoSpaceDN w:val="0"/>
        <w:adjustRightInd w:val="0"/>
        <w:ind w:firstLine="708"/>
        <w:rPr>
          <w:rFonts w:eastAsia="TT19CFo00"/>
          <w:sz w:val="28"/>
          <w:szCs w:val="28"/>
          <w:lang w:val="uk-UA"/>
        </w:rPr>
      </w:pPr>
    </w:p>
    <w:p w:rsidR="00483BC3" w:rsidRDefault="00483BC3" w:rsidP="00483BC3">
      <w:pPr>
        <w:ind w:firstLine="842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rFonts w:eastAsia="TT19CFo00"/>
          <w:sz w:val="28"/>
          <w:szCs w:val="28"/>
          <w:lang w:val="uk-UA"/>
        </w:rPr>
        <w:t>В 20</w:t>
      </w:r>
      <w:r w:rsidR="004353D6">
        <w:rPr>
          <w:rFonts w:eastAsia="TT19CFo00"/>
          <w:sz w:val="28"/>
          <w:szCs w:val="28"/>
          <w:lang w:val="uk-UA"/>
        </w:rPr>
        <w:t>20</w:t>
      </w:r>
      <w:r>
        <w:rPr>
          <w:rFonts w:eastAsia="TT19CFo00"/>
          <w:sz w:val="28"/>
          <w:szCs w:val="28"/>
          <w:lang w:val="uk-UA"/>
        </w:rPr>
        <w:t xml:space="preserve"> році </w:t>
      </w:r>
      <w:r>
        <w:rPr>
          <w:color w:val="000000"/>
          <w:spacing w:val="-1"/>
          <w:sz w:val="28"/>
          <w:szCs w:val="28"/>
          <w:lang w:val="uk-UA"/>
        </w:rPr>
        <w:t xml:space="preserve">очікувана рентабельність діяльності підприємства становитиме </w:t>
      </w:r>
      <w:r w:rsidR="004353D6">
        <w:rPr>
          <w:color w:val="000000"/>
          <w:spacing w:val="-1"/>
          <w:sz w:val="28"/>
          <w:szCs w:val="28"/>
          <w:lang w:val="uk-UA"/>
        </w:rPr>
        <w:t>0,6</w:t>
      </w:r>
      <w:r>
        <w:rPr>
          <w:color w:val="000000"/>
          <w:spacing w:val="-1"/>
          <w:sz w:val="28"/>
          <w:szCs w:val="28"/>
          <w:lang w:val="uk-UA"/>
        </w:rPr>
        <w:t xml:space="preserve"> %, що </w:t>
      </w:r>
      <w:r w:rsidR="004353D6">
        <w:rPr>
          <w:color w:val="000000"/>
          <w:spacing w:val="-1"/>
          <w:sz w:val="28"/>
          <w:szCs w:val="28"/>
          <w:lang w:val="uk-UA"/>
        </w:rPr>
        <w:t xml:space="preserve">відповідає розміру відповідного </w:t>
      </w:r>
      <w:r>
        <w:rPr>
          <w:color w:val="000000"/>
          <w:spacing w:val="-1"/>
          <w:sz w:val="28"/>
          <w:szCs w:val="28"/>
          <w:lang w:val="uk-UA"/>
        </w:rPr>
        <w:t xml:space="preserve">показника </w:t>
      </w:r>
      <w:r w:rsidR="004353D6">
        <w:rPr>
          <w:color w:val="000000"/>
          <w:spacing w:val="-1"/>
          <w:sz w:val="28"/>
          <w:szCs w:val="28"/>
          <w:lang w:val="uk-UA"/>
        </w:rPr>
        <w:t xml:space="preserve">прогнозованого </w:t>
      </w:r>
      <w:r>
        <w:rPr>
          <w:color w:val="000000"/>
          <w:spacing w:val="-1"/>
          <w:sz w:val="28"/>
          <w:szCs w:val="28"/>
          <w:lang w:val="uk-UA"/>
        </w:rPr>
        <w:t>на 20</w:t>
      </w:r>
      <w:r w:rsidR="00587AE8">
        <w:rPr>
          <w:color w:val="000000"/>
          <w:spacing w:val="-1"/>
          <w:sz w:val="28"/>
          <w:szCs w:val="28"/>
          <w:lang w:val="uk-UA"/>
        </w:rPr>
        <w:t>20</w:t>
      </w:r>
      <w:r>
        <w:rPr>
          <w:color w:val="000000"/>
          <w:spacing w:val="-1"/>
          <w:sz w:val="28"/>
          <w:szCs w:val="28"/>
          <w:lang w:val="uk-UA"/>
        </w:rPr>
        <w:t xml:space="preserve"> рік</w:t>
      </w:r>
      <w:r w:rsidR="004353D6">
        <w:rPr>
          <w:color w:val="000000"/>
          <w:spacing w:val="-1"/>
          <w:sz w:val="28"/>
          <w:szCs w:val="28"/>
          <w:lang w:val="uk-UA"/>
        </w:rPr>
        <w:t xml:space="preserve"> та на 5,4 % більше відповідного показника за 201</w:t>
      </w:r>
      <w:r w:rsidR="00587AE8">
        <w:rPr>
          <w:color w:val="000000"/>
          <w:spacing w:val="-1"/>
          <w:sz w:val="28"/>
          <w:szCs w:val="28"/>
          <w:lang w:val="uk-UA"/>
        </w:rPr>
        <w:t>9</w:t>
      </w:r>
      <w:r w:rsidR="004353D6">
        <w:rPr>
          <w:color w:val="000000"/>
          <w:spacing w:val="-1"/>
          <w:sz w:val="28"/>
          <w:szCs w:val="28"/>
          <w:lang w:val="uk-UA"/>
        </w:rPr>
        <w:t xml:space="preserve"> рік, який мав від’ємне значення.</w:t>
      </w:r>
    </w:p>
    <w:p w:rsidR="006718AE" w:rsidRDefault="00EE2536" w:rsidP="006718AE">
      <w:pPr>
        <w:ind w:firstLine="842"/>
        <w:jc w:val="both"/>
        <w:rPr>
          <w:color w:val="000000"/>
          <w:spacing w:val="-1"/>
          <w:sz w:val="28"/>
          <w:szCs w:val="28"/>
          <w:lang w:val="uk-UA" w:eastAsia="ar-SA"/>
        </w:rPr>
      </w:pPr>
      <w:r>
        <w:rPr>
          <w:rFonts w:eastAsia="TT19CFo00"/>
          <w:sz w:val="28"/>
          <w:szCs w:val="28"/>
          <w:lang w:val="uk-UA"/>
        </w:rPr>
        <w:t>В 20</w:t>
      </w:r>
      <w:r w:rsidR="00FE2F99">
        <w:rPr>
          <w:rFonts w:eastAsia="TT19CFo00"/>
          <w:sz w:val="28"/>
          <w:szCs w:val="28"/>
          <w:lang w:val="uk-UA"/>
        </w:rPr>
        <w:t>2</w:t>
      </w:r>
      <w:r w:rsidR="00587AE8">
        <w:rPr>
          <w:rFonts w:eastAsia="TT19CFo00"/>
          <w:sz w:val="28"/>
          <w:szCs w:val="28"/>
          <w:lang w:val="uk-UA"/>
        </w:rPr>
        <w:t>1</w:t>
      </w:r>
      <w:r w:rsidR="006718AE">
        <w:rPr>
          <w:rFonts w:eastAsia="TT19CFo00"/>
          <w:sz w:val="28"/>
          <w:szCs w:val="28"/>
          <w:lang w:val="uk-UA"/>
        </w:rPr>
        <w:t xml:space="preserve"> році </w:t>
      </w:r>
      <w:r w:rsidR="006718AE">
        <w:rPr>
          <w:color w:val="000000"/>
          <w:spacing w:val="-1"/>
          <w:sz w:val="28"/>
          <w:szCs w:val="28"/>
          <w:lang w:val="uk-UA"/>
        </w:rPr>
        <w:t xml:space="preserve">очікується отримання чистого фінансового результату </w:t>
      </w:r>
      <w:r w:rsidR="00FE2F99">
        <w:rPr>
          <w:color w:val="000000"/>
          <w:spacing w:val="-1"/>
          <w:sz w:val="28"/>
          <w:szCs w:val="28"/>
          <w:lang w:val="uk-UA"/>
        </w:rPr>
        <w:t xml:space="preserve">у сумі </w:t>
      </w:r>
      <w:r w:rsidR="00587AE8">
        <w:rPr>
          <w:color w:val="000000"/>
          <w:spacing w:val="-1"/>
          <w:sz w:val="28"/>
          <w:szCs w:val="28"/>
          <w:lang w:val="uk-UA"/>
        </w:rPr>
        <w:t>47</w:t>
      </w:r>
      <w:r w:rsidR="00FE2F99">
        <w:rPr>
          <w:color w:val="000000"/>
          <w:spacing w:val="-1"/>
          <w:sz w:val="28"/>
          <w:szCs w:val="28"/>
          <w:lang w:val="uk-UA"/>
        </w:rPr>
        <w:t xml:space="preserve"> тис.</w:t>
      </w:r>
      <w:r w:rsidR="00A87248">
        <w:rPr>
          <w:color w:val="000000"/>
          <w:spacing w:val="-1"/>
          <w:sz w:val="28"/>
          <w:szCs w:val="28"/>
          <w:lang w:val="uk-UA"/>
        </w:rPr>
        <w:t xml:space="preserve"> </w:t>
      </w:r>
      <w:r w:rsidR="00587AE8">
        <w:rPr>
          <w:color w:val="000000"/>
          <w:spacing w:val="-1"/>
          <w:sz w:val="28"/>
          <w:szCs w:val="28"/>
          <w:lang w:val="uk-UA"/>
        </w:rPr>
        <w:t>грн.</w:t>
      </w:r>
      <w:r w:rsidR="006718AE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FB2875" w:rsidRPr="006718AE" w:rsidRDefault="006718AE" w:rsidP="006718AE">
      <w:pPr>
        <w:pStyle w:val="a9"/>
        <w:shd w:val="clear" w:color="auto" w:fill="auto"/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Такі результати планується отримати</w:t>
      </w:r>
      <w:r w:rsidR="00FB2875" w:rsidRPr="00591B85">
        <w:rPr>
          <w:rFonts w:eastAsia="TT19CFo00"/>
          <w:sz w:val="28"/>
          <w:szCs w:val="28"/>
        </w:rPr>
        <w:t xml:space="preserve"> за рахунок:</w:t>
      </w:r>
    </w:p>
    <w:p w:rsidR="00FB2875" w:rsidRDefault="00FB2875" w:rsidP="0053387B">
      <w:pPr>
        <w:autoSpaceDE w:val="0"/>
        <w:autoSpaceDN w:val="0"/>
        <w:adjustRightInd w:val="0"/>
        <w:jc w:val="both"/>
        <w:rPr>
          <w:rFonts w:eastAsia="TT19CFo00"/>
          <w:sz w:val="28"/>
          <w:szCs w:val="28"/>
          <w:lang w:val="uk-UA"/>
        </w:rPr>
      </w:pPr>
      <w:r w:rsidRPr="00F17211">
        <w:rPr>
          <w:rFonts w:eastAsia="TT19CFo00"/>
          <w:b/>
          <w:sz w:val="28"/>
          <w:szCs w:val="28"/>
          <w:lang w:val="uk-UA"/>
        </w:rPr>
        <w:t>-</w:t>
      </w:r>
      <w:r>
        <w:rPr>
          <w:rFonts w:eastAsia="TT19CFo00"/>
          <w:sz w:val="28"/>
          <w:szCs w:val="28"/>
          <w:lang w:val="uk-UA"/>
        </w:rPr>
        <w:t xml:space="preserve"> доведення тарифів до рівня економічно-</w:t>
      </w:r>
      <w:r w:rsidR="00A87248">
        <w:rPr>
          <w:rFonts w:eastAsia="TT19CFo00"/>
          <w:sz w:val="28"/>
          <w:szCs w:val="28"/>
          <w:lang w:val="uk-UA"/>
        </w:rPr>
        <w:t>обґрунтованих</w:t>
      </w:r>
      <w:r>
        <w:rPr>
          <w:rFonts w:eastAsia="TT19CFo00"/>
          <w:sz w:val="28"/>
          <w:szCs w:val="28"/>
          <w:lang w:val="uk-UA"/>
        </w:rPr>
        <w:t xml:space="preserve"> витрат на їх виробництво</w:t>
      </w:r>
      <w:r w:rsidR="006718AE">
        <w:rPr>
          <w:rFonts w:eastAsia="TT19CFo00"/>
          <w:sz w:val="28"/>
          <w:szCs w:val="28"/>
          <w:lang w:val="uk-UA"/>
        </w:rPr>
        <w:t>;</w:t>
      </w:r>
    </w:p>
    <w:p w:rsidR="006718AE" w:rsidRPr="0059720C" w:rsidRDefault="006718AE" w:rsidP="0053387B">
      <w:pPr>
        <w:autoSpaceDE w:val="0"/>
        <w:autoSpaceDN w:val="0"/>
        <w:adjustRightInd w:val="0"/>
        <w:jc w:val="both"/>
        <w:rPr>
          <w:rFonts w:eastAsia="TT19CFo00"/>
          <w:sz w:val="28"/>
          <w:szCs w:val="28"/>
          <w:lang w:val="uk-UA"/>
        </w:rPr>
      </w:pPr>
      <w:r>
        <w:rPr>
          <w:rFonts w:eastAsia="TT19CFo00"/>
          <w:sz w:val="28"/>
          <w:szCs w:val="28"/>
          <w:lang w:val="uk-UA"/>
        </w:rPr>
        <w:t xml:space="preserve">- </w:t>
      </w:r>
      <w:r w:rsidR="00A87248">
        <w:rPr>
          <w:rFonts w:eastAsia="TT19CFo00"/>
          <w:sz w:val="28"/>
          <w:szCs w:val="28"/>
          <w:lang w:val="uk-UA"/>
        </w:rPr>
        <w:t>реалізації вторинної сировини, отриманої внаслідок сортування відходів на полігоні</w:t>
      </w:r>
      <w:r>
        <w:rPr>
          <w:rFonts w:eastAsia="TT19CFo00"/>
          <w:sz w:val="28"/>
          <w:szCs w:val="28"/>
          <w:lang w:val="uk-UA"/>
        </w:rPr>
        <w:t>.</w:t>
      </w:r>
    </w:p>
    <w:p w:rsidR="00FB2875" w:rsidRDefault="00FB2875" w:rsidP="00FB28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875" w:rsidRDefault="00FB2875" w:rsidP="004353D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00A4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Розподіл чистого прибутку.</w:t>
      </w:r>
    </w:p>
    <w:p w:rsidR="00D544A6" w:rsidRPr="00D544A6" w:rsidRDefault="00EE2536" w:rsidP="00D544A6">
      <w:pPr>
        <w:pStyle w:val="a7"/>
        <w:ind w:firstLine="2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</w:t>
      </w:r>
      <w:r w:rsidR="00A87248">
        <w:rPr>
          <w:rFonts w:ascii="Times New Roman" w:hAnsi="Times New Roman"/>
          <w:sz w:val="28"/>
          <w:szCs w:val="28"/>
          <w:lang w:val="uk-UA"/>
        </w:rPr>
        <w:t>2</w:t>
      </w:r>
      <w:r w:rsidR="00587AE8">
        <w:rPr>
          <w:rFonts w:ascii="Times New Roman" w:hAnsi="Times New Roman"/>
          <w:sz w:val="28"/>
          <w:szCs w:val="28"/>
          <w:lang w:val="uk-UA"/>
        </w:rPr>
        <w:t>1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 року планується досягти чистого фінансового</w:t>
      </w:r>
      <w:r w:rsidR="00D544A6" w:rsidRPr="00D544A6"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у у вигляді </w:t>
      </w:r>
      <w:r w:rsidR="00587AE8">
        <w:rPr>
          <w:rFonts w:ascii="Times New Roman" w:hAnsi="Times New Roman"/>
          <w:sz w:val="28"/>
          <w:szCs w:val="28"/>
          <w:lang w:val="uk-UA"/>
        </w:rPr>
        <w:t>47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 тис. грн. прибутку. Законодавчим регулюванням розподілу прибутку передбачено </w:t>
      </w:r>
      <w:r w:rsidR="00D72B66">
        <w:rPr>
          <w:rFonts w:ascii="Times New Roman" w:hAnsi="Times New Roman"/>
          <w:sz w:val="28"/>
          <w:szCs w:val="28"/>
          <w:lang w:val="uk-UA"/>
        </w:rPr>
        <w:t>сплату податку на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 прибут</w:t>
      </w:r>
      <w:r w:rsidR="00D72B66">
        <w:rPr>
          <w:rFonts w:ascii="Times New Roman" w:hAnsi="Times New Roman"/>
          <w:sz w:val="28"/>
          <w:szCs w:val="28"/>
          <w:lang w:val="uk-UA"/>
        </w:rPr>
        <w:t>ок підприємства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87AE8">
        <w:rPr>
          <w:rFonts w:ascii="Times New Roman" w:hAnsi="Times New Roman"/>
          <w:sz w:val="28"/>
          <w:szCs w:val="28"/>
          <w:lang w:val="uk-UA"/>
        </w:rPr>
        <w:t>11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="00D544A6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D544A6">
        <w:rPr>
          <w:rFonts w:ascii="Times New Roman" w:hAnsi="Times New Roman"/>
          <w:sz w:val="28"/>
          <w:szCs w:val="28"/>
          <w:lang w:val="uk-UA"/>
        </w:rPr>
        <w:t>)  до бюджету. Залишок планового прибутку буде направ</w:t>
      </w:r>
      <w:r w:rsidR="00141E7C">
        <w:rPr>
          <w:rFonts w:ascii="Times New Roman" w:hAnsi="Times New Roman"/>
          <w:sz w:val="28"/>
          <w:szCs w:val="28"/>
          <w:lang w:val="uk-UA"/>
        </w:rPr>
        <w:t xml:space="preserve">лено </w:t>
      </w:r>
      <w:r w:rsidR="00D544A6">
        <w:rPr>
          <w:rFonts w:ascii="Times New Roman" w:hAnsi="Times New Roman"/>
          <w:sz w:val="28"/>
          <w:szCs w:val="28"/>
          <w:lang w:val="uk-UA"/>
        </w:rPr>
        <w:t>на потреби споживання</w:t>
      </w:r>
      <w:r w:rsidR="00141E7C">
        <w:rPr>
          <w:rFonts w:ascii="Times New Roman" w:hAnsi="Times New Roman"/>
          <w:sz w:val="28"/>
          <w:szCs w:val="28"/>
          <w:lang w:val="uk-UA"/>
        </w:rPr>
        <w:t xml:space="preserve"> підприємства та його розвиток</w:t>
      </w:r>
      <w:r w:rsidR="00D544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2875" w:rsidRDefault="00FB2875" w:rsidP="00FB28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875" w:rsidRDefault="00FB2875" w:rsidP="004353D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Фактичний обсяг надходжень податків, зборів, платежів до бюджетів та єдиного внеску на загальнообов’язкове державне соціальне страхування.</w:t>
      </w:r>
    </w:p>
    <w:p w:rsidR="00141E7C" w:rsidRDefault="00FB2875" w:rsidP="00FB28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E2536">
        <w:rPr>
          <w:rFonts w:ascii="Times New Roman" w:hAnsi="Times New Roman"/>
          <w:sz w:val="28"/>
          <w:szCs w:val="28"/>
          <w:lang w:val="uk-UA"/>
        </w:rPr>
        <w:t xml:space="preserve">За підсумками </w:t>
      </w:r>
      <w:r w:rsidR="004353D6">
        <w:rPr>
          <w:rFonts w:ascii="Times New Roman" w:hAnsi="Times New Roman"/>
          <w:sz w:val="28"/>
          <w:szCs w:val="28"/>
          <w:lang w:val="uk-UA"/>
        </w:rPr>
        <w:t>201</w:t>
      </w:r>
      <w:r w:rsidR="000452DD">
        <w:rPr>
          <w:rFonts w:ascii="Times New Roman" w:hAnsi="Times New Roman"/>
          <w:sz w:val="28"/>
          <w:szCs w:val="28"/>
          <w:lang w:val="uk-UA"/>
        </w:rPr>
        <w:t>9</w:t>
      </w:r>
      <w:r w:rsidR="004353D6">
        <w:rPr>
          <w:rFonts w:ascii="Times New Roman" w:hAnsi="Times New Roman"/>
          <w:sz w:val="28"/>
          <w:szCs w:val="28"/>
          <w:lang w:val="uk-UA"/>
        </w:rPr>
        <w:t xml:space="preserve"> року та </w:t>
      </w:r>
      <w:r w:rsidR="00EE2536">
        <w:rPr>
          <w:rFonts w:ascii="Times New Roman" w:hAnsi="Times New Roman"/>
          <w:sz w:val="28"/>
          <w:szCs w:val="28"/>
          <w:lang w:val="uk-UA"/>
        </w:rPr>
        <w:t>І кварталу 20</w:t>
      </w:r>
      <w:r w:rsidR="000452DD">
        <w:rPr>
          <w:rFonts w:ascii="Times New Roman" w:hAnsi="Times New Roman"/>
          <w:sz w:val="28"/>
          <w:szCs w:val="28"/>
          <w:lang w:val="uk-UA"/>
        </w:rPr>
        <w:t>20</w:t>
      </w:r>
      <w:r w:rsidR="00141E7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263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підприємством </w:t>
      </w:r>
      <w:r w:rsidR="00EE2536">
        <w:rPr>
          <w:rFonts w:ascii="Times New Roman" w:hAnsi="Times New Roman"/>
          <w:sz w:val="28"/>
          <w:szCs w:val="28"/>
          <w:lang w:val="uk-UA"/>
        </w:rPr>
        <w:t xml:space="preserve">визначено від’ємне значення ПДВ, </w:t>
      </w:r>
      <w:r w:rsidR="00141E7C">
        <w:rPr>
          <w:rFonts w:ascii="Times New Roman" w:hAnsi="Times New Roman"/>
          <w:sz w:val="28"/>
          <w:szCs w:val="28"/>
          <w:lang w:val="uk-UA"/>
        </w:rPr>
        <w:t>яке взято за основу для встановлення прогнозного показника на поточний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536">
        <w:rPr>
          <w:rFonts w:ascii="Times New Roman" w:hAnsi="Times New Roman"/>
          <w:sz w:val="28"/>
          <w:szCs w:val="28"/>
          <w:lang w:val="uk-UA"/>
        </w:rPr>
        <w:t>На 20</w:t>
      </w:r>
      <w:r w:rsidR="000452DD">
        <w:rPr>
          <w:rFonts w:ascii="Times New Roman" w:hAnsi="Times New Roman"/>
          <w:sz w:val="28"/>
          <w:szCs w:val="28"/>
          <w:lang w:val="uk-UA"/>
        </w:rPr>
        <w:t>21</w:t>
      </w:r>
      <w:r w:rsidR="00141E7C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7E1D81">
        <w:rPr>
          <w:rFonts w:ascii="Times New Roman" w:hAnsi="Times New Roman"/>
          <w:sz w:val="28"/>
          <w:szCs w:val="28"/>
          <w:lang w:val="uk-UA"/>
        </w:rPr>
        <w:t xml:space="preserve">передбачено перевищення суми податкового кредиту над сумою податкових </w:t>
      </w:r>
      <w:proofErr w:type="spellStart"/>
      <w:r w:rsidR="007E1D81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7E1D81" w:rsidRPr="007E1D81">
        <w:rPr>
          <w:rFonts w:ascii="Times New Roman" w:hAnsi="Times New Roman"/>
          <w:sz w:val="28"/>
          <w:szCs w:val="28"/>
        </w:rPr>
        <w:t>`</w:t>
      </w:r>
      <w:proofErr w:type="spellStart"/>
      <w:r w:rsidR="007E1D81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="007E1D81">
        <w:rPr>
          <w:rFonts w:ascii="Times New Roman" w:hAnsi="Times New Roman"/>
          <w:sz w:val="28"/>
          <w:szCs w:val="28"/>
          <w:lang w:val="uk-UA"/>
        </w:rPr>
        <w:t>.</w:t>
      </w:r>
    </w:p>
    <w:p w:rsidR="00523268" w:rsidRDefault="00FB2875" w:rsidP="00FB28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523268">
        <w:rPr>
          <w:rFonts w:ascii="Times New Roman" w:hAnsi="Times New Roman"/>
          <w:sz w:val="28"/>
          <w:szCs w:val="28"/>
          <w:lang w:val="uk-UA"/>
        </w:rPr>
        <w:t xml:space="preserve">Розмір </w:t>
      </w:r>
      <w:r>
        <w:rPr>
          <w:rFonts w:ascii="Times New Roman" w:hAnsi="Times New Roman"/>
          <w:sz w:val="28"/>
          <w:szCs w:val="28"/>
          <w:lang w:val="uk-UA"/>
        </w:rPr>
        <w:t xml:space="preserve">податкових платежів до </w:t>
      </w:r>
      <w:r w:rsidR="00523268">
        <w:rPr>
          <w:rFonts w:ascii="Times New Roman" w:hAnsi="Times New Roman"/>
          <w:sz w:val="28"/>
          <w:szCs w:val="28"/>
          <w:lang w:val="uk-UA"/>
        </w:rPr>
        <w:t>місцевого бюджету складається з податку на до</w:t>
      </w:r>
      <w:r w:rsidR="00C00AA0">
        <w:rPr>
          <w:rFonts w:ascii="Times New Roman" w:hAnsi="Times New Roman"/>
          <w:sz w:val="28"/>
          <w:szCs w:val="28"/>
          <w:lang w:val="uk-UA"/>
        </w:rPr>
        <w:t xml:space="preserve">ходи фізичних осіб у розмірі </w:t>
      </w:r>
      <w:r w:rsidR="007E1D81" w:rsidRPr="007E1D81">
        <w:rPr>
          <w:rFonts w:ascii="Times New Roman" w:hAnsi="Times New Roman"/>
          <w:sz w:val="28"/>
          <w:szCs w:val="28"/>
          <w:lang w:val="uk-UA"/>
        </w:rPr>
        <w:t>689</w:t>
      </w:r>
      <w:r w:rsidR="00523268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="00523268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523268">
        <w:rPr>
          <w:rFonts w:ascii="Times New Roman" w:hAnsi="Times New Roman"/>
          <w:sz w:val="28"/>
          <w:szCs w:val="28"/>
          <w:lang w:val="uk-UA"/>
        </w:rPr>
        <w:t xml:space="preserve">, сплати </w:t>
      </w:r>
      <w:r w:rsidR="007E1D81">
        <w:rPr>
          <w:rFonts w:ascii="Times New Roman" w:hAnsi="Times New Roman"/>
          <w:sz w:val="28"/>
          <w:szCs w:val="28"/>
          <w:lang w:val="uk-UA"/>
        </w:rPr>
        <w:t xml:space="preserve">військового збору - 57 тис. грн. та екологічного </w:t>
      </w:r>
      <w:r w:rsidR="00523268">
        <w:rPr>
          <w:rFonts w:ascii="Times New Roman" w:hAnsi="Times New Roman"/>
          <w:sz w:val="28"/>
          <w:szCs w:val="28"/>
          <w:lang w:val="uk-UA"/>
        </w:rPr>
        <w:t>по</w:t>
      </w:r>
      <w:r w:rsidR="00C00AA0">
        <w:rPr>
          <w:rFonts w:ascii="Times New Roman" w:hAnsi="Times New Roman"/>
          <w:sz w:val="28"/>
          <w:szCs w:val="28"/>
          <w:lang w:val="uk-UA"/>
        </w:rPr>
        <w:t>датку за розміщення відходів</w:t>
      </w:r>
      <w:r w:rsidR="007E1D81">
        <w:rPr>
          <w:rFonts w:ascii="Times New Roman" w:hAnsi="Times New Roman"/>
          <w:sz w:val="28"/>
          <w:szCs w:val="28"/>
          <w:lang w:val="uk-UA"/>
        </w:rPr>
        <w:t xml:space="preserve"> у спеціально відведених для цього місцях</w:t>
      </w:r>
      <w:r w:rsidR="00C00A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D8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00AA0" w:rsidRPr="007E1D81">
        <w:rPr>
          <w:rFonts w:ascii="Times New Roman" w:hAnsi="Times New Roman"/>
          <w:sz w:val="28"/>
          <w:szCs w:val="28"/>
          <w:lang w:val="uk-UA"/>
        </w:rPr>
        <w:t>2</w:t>
      </w:r>
      <w:r w:rsidR="007E1D81" w:rsidRPr="007E1D81">
        <w:rPr>
          <w:rFonts w:ascii="Times New Roman" w:hAnsi="Times New Roman"/>
          <w:sz w:val="28"/>
          <w:szCs w:val="28"/>
          <w:lang w:val="uk-UA"/>
        </w:rPr>
        <w:t>21</w:t>
      </w:r>
      <w:r w:rsidRPr="007E1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68">
        <w:rPr>
          <w:rFonts w:ascii="Times New Roman" w:hAnsi="Times New Roman"/>
          <w:sz w:val="28"/>
          <w:szCs w:val="28"/>
          <w:lang w:val="uk-UA"/>
        </w:rPr>
        <w:t>тис. грн</w:t>
      </w:r>
      <w:r w:rsidR="007E1D81">
        <w:rPr>
          <w:rFonts w:ascii="Times New Roman" w:hAnsi="Times New Roman"/>
          <w:sz w:val="28"/>
          <w:szCs w:val="28"/>
          <w:lang w:val="uk-UA"/>
        </w:rPr>
        <w:t>.</w:t>
      </w:r>
    </w:p>
    <w:p w:rsidR="00523268" w:rsidRDefault="00523268" w:rsidP="0052326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в плановому році передбачено</w:t>
      </w:r>
      <w:r w:rsidR="00FB2875">
        <w:rPr>
          <w:rFonts w:ascii="Times New Roman" w:hAnsi="Times New Roman"/>
          <w:sz w:val="28"/>
          <w:szCs w:val="28"/>
          <w:lang w:val="uk-UA"/>
        </w:rPr>
        <w:t xml:space="preserve"> погашення </w:t>
      </w:r>
      <w:proofErr w:type="spellStart"/>
      <w:r w:rsidR="00FB2875">
        <w:rPr>
          <w:rFonts w:ascii="Times New Roman" w:hAnsi="Times New Roman"/>
          <w:sz w:val="28"/>
          <w:szCs w:val="28"/>
          <w:lang w:val="uk-UA"/>
        </w:rPr>
        <w:t>рест</w:t>
      </w:r>
      <w:r>
        <w:rPr>
          <w:rFonts w:ascii="Times New Roman" w:hAnsi="Times New Roman"/>
          <w:sz w:val="28"/>
          <w:szCs w:val="28"/>
          <w:lang w:val="uk-UA"/>
        </w:rPr>
        <w:t>руктуризованого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боргу у сумі 128</w:t>
      </w:r>
      <w:r w:rsidR="00FB2875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FB2875" w:rsidRDefault="00FB2875" w:rsidP="0052326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Єдиний внесок на загальнообов’язкове державне страх</w:t>
      </w:r>
      <w:r w:rsidR="00C00AA0">
        <w:rPr>
          <w:rFonts w:ascii="Times New Roman" w:hAnsi="Times New Roman"/>
          <w:sz w:val="28"/>
          <w:szCs w:val="28"/>
          <w:lang w:val="uk-UA"/>
        </w:rPr>
        <w:t xml:space="preserve">ування складе </w:t>
      </w:r>
      <w:r w:rsidR="007E1D81" w:rsidRPr="007E1D81">
        <w:rPr>
          <w:rFonts w:ascii="Times New Roman" w:hAnsi="Times New Roman"/>
          <w:sz w:val="28"/>
          <w:szCs w:val="28"/>
          <w:lang w:val="uk-UA"/>
        </w:rPr>
        <w:t>833</w:t>
      </w:r>
      <w:r w:rsidR="005232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FB2875" w:rsidRDefault="00FB2875" w:rsidP="00FB28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875" w:rsidRDefault="00FB2875" w:rsidP="007E1D8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750A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/>
          <w:sz w:val="28"/>
          <w:szCs w:val="28"/>
          <w:lang w:val="uk-UA"/>
        </w:rPr>
        <w:t>Витрати на соціальну сферу.</w:t>
      </w:r>
    </w:p>
    <w:p w:rsidR="00FB2875" w:rsidRPr="0082381C" w:rsidRDefault="00FB2875" w:rsidP="00FB28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2381C">
        <w:rPr>
          <w:rFonts w:ascii="Times New Roman" w:hAnsi="Times New Roman"/>
          <w:sz w:val="28"/>
          <w:szCs w:val="28"/>
          <w:lang w:val="uk-UA"/>
        </w:rPr>
        <w:t xml:space="preserve">В наслідок обмежених ресурсів розрахунок довгострокових та системних соціальних витрат є недоцільним. </w:t>
      </w:r>
      <w:r w:rsidR="00C00AA0">
        <w:rPr>
          <w:rFonts w:ascii="Times New Roman" w:hAnsi="Times New Roman"/>
          <w:sz w:val="28"/>
          <w:szCs w:val="28"/>
          <w:lang w:val="uk-UA"/>
        </w:rPr>
        <w:t>На 20</w:t>
      </w:r>
      <w:r w:rsidR="000E0A78">
        <w:rPr>
          <w:rFonts w:ascii="Times New Roman" w:hAnsi="Times New Roman"/>
          <w:sz w:val="28"/>
          <w:szCs w:val="28"/>
          <w:lang w:val="uk-UA"/>
        </w:rPr>
        <w:t>20</w:t>
      </w:r>
      <w:r w:rsidR="00523268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напрямки соціальних витрат обмежені сплатою податків та зборів у бюджетні фонди, виплатою заробітної плати та забезпеченням соціальних гарантій працівникам.</w:t>
      </w:r>
    </w:p>
    <w:p w:rsidR="00523268" w:rsidRDefault="00523268" w:rsidP="00FB28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2875" w:rsidRDefault="00FB2875" w:rsidP="007E1D8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Pr="00BD750A">
        <w:rPr>
          <w:rFonts w:ascii="Times New Roman" w:hAnsi="Times New Roman"/>
          <w:b/>
          <w:sz w:val="28"/>
          <w:szCs w:val="28"/>
          <w:lang w:val="uk-UA"/>
        </w:rPr>
        <w:t>Інвестиційна діяльність.</w:t>
      </w:r>
    </w:p>
    <w:p w:rsidR="00C32430" w:rsidRDefault="00523268" w:rsidP="000E0A7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7708">
        <w:rPr>
          <w:rFonts w:ascii="Times New Roman" w:hAnsi="Times New Roman"/>
          <w:sz w:val="28"/>
          <w:szCs w:val="28"/>
          <w:lang w:val="uk-UA"/>
        </w:rPr>
        <w:t>Включення інвестиці</w:t>
      </w:r>
      <w:r>
        <w:rPr>
          <w:rFonts w:ascii="Times New Roman" w:hAnsi="Times New Roman"/>
          <w:sz w:val="28"/>
          <w:szCs w:val="28"/>
          <w:lang w:val="uk-UA"/>
        </w:rPr>
        <w:t xml:space="preserve">йної складової до розміру тарифів </w:t>
      </w:r>
      <w:r w:rsidRPr="001A7708">
        <w:rPr>
          <w:rFonts w:ascii="Times New Roman" w:hAnsi="Times New Roman"/>
          <w:sz w:val="28"/>
          <w:szCs w:val="28"/>
          <w:lang w:val="uk-UA"/>
        </w:rPr>
        <w:t>не вирішує нагальну потребу в коштах та підвищує ризик зменшення попиту.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6AD">
        <w:rPr>
          <w:rFonts w:ascii="Times New Roman" w:hAnsi="Times New Roman"/>
          <w:sz w:val="28"/>
          <w:szCs w:val="28"/>
          <w:lang w:val="uk-UA"/>
        </w:rPr>
        <w:t>Тож відтворення основних фондів здійснюватиметься за рах</w:t>
      </w:r>
      <w:r w:rsidR="006D5FDE">
        <w:rPr>
          <w:rFonts w:ascii="Times New Roman" w:hAnsi="Times New Roman"/>
          <w:sz w:val="28"/>
          <w:szCs w:val="28"/>
          <w:lang w:val="uk-UA"/>
        </w:rPr>
        <w:t>унок амортизаційних відрахувань.</w:t>
      </w:r>
      <w:r w:rsidR="000E0A78" w:rsidRPr="000E0A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0AA0" w:rsidRDefault="000E0A78" w:rsidP="00C3243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кошти отримані від здійснення господарської діяльності </w:t>
      </w:r>
      <w:r w:rsidR="00C32430">
        <w:rPr>
          <w:rFonts w:ascii="Times New Roman" w:hAnsi="Times New Roman"/>
          <w:sz w:val="28"/>
          <w:szCs w:val="28"/>
          <w:lang w:val="uk-UA"/>
        </w:rPr>
        <w:t xml:space="preserve">на 2020 р. </w:t>
      </w:r>
      <w:r>
        <w:rPr>
          <w:rFonts w:ascii="Times New Roman" w:hAnsi="Times New Roman"/>
          <w:sz w:val="28"/>
          <w:szCs w:val="28"/>
          <w:lang w:val="uk-UA"/>
        </w:rPr>
        <w:t>передбачено 80 тис. грн. на проведення заходів з м</w:t>
      </w:r>
      <w:r w:rsidRPr="000E0A78">
        <w:rPr>
          <w:rFonts w:ascii="Times New Roman" w:hAnsi="Times New Roman"/>
          <w:sz w:val="28"/>
          <w:szCs w:val="28"/>
          <w:lang w:val="uk-UA"/>
        </w:rPr>
        <w:t>одернізаці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E0A78">
        <w:rPr>
          <w:rFonts w:ascii="Times New Roman" w:hAnsi="Times New Roman"/>
          <w:sz w:val="28"/>
          <w:szCs w:val="28"/>
          <w:lang w:val="uk-UA"/>
        </w:rPr>
        <w:t>, модифікаці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E0A78">
        <w:rPr>
          <w:rFonts w:ascii="Times New Roman" w:hAnsi="Times New Roman"/>
          <w:sz w:val="28"/>
          <w:szCs w:val="28"/>
          <w:lang w:val="uk-UA"/>
        </w:rPr>
        <w:t xml:space="preserve"> (добудова, дообладнання, реконструкція)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засобів</w:t>
      </w:r>
      <w:r w:rsidR="00C32430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FB2875" w:rsidRPr="00BD750A" w:rsidRDefault="006D5FDE" w:rsidP="0052326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Оновлення основних засобів планується здійснити за кошти цільового фі</w:t>
      </w:r>
      <w:r w:rsidR="00C00AA0">
        <w:rPr>
          <w:rFonts w:ascii="Times New Roman" w:hAnsi="Times New Roman"/>
          <w:sz w:val="28"/>
          <w:szCs w:val="28"/>
          <w:lang w:val="uk-UA"/>
        </w:rPr>
        <w:t>нансування</w:t>
      </w:r>
      <w:r w:rsidR="00C32430">
        <w:rPr>
          <w:rFonts w:ascii="Times New Roman" w:hAnsi="Times New Roman"/>
          <w:sz w:val="28"/>
          <w:szCs w:val="28"/>
          <w:lang w:val="uk-UA"/>
        </w:rPr>
        <w:t xml:space="preserve"> (капітальні трансферти підприємствам). Так на плановий рік очікується отримання 450 тис. грн. на </w:t>
      </w:r>
      <w:r w:rsidR="00C00AA0">
        <w:rPr>
          <w:rFonts w:ascii="Times New Roman" w:hAnsi="Times New Roman"/>
          <w:sz w:val="28"/>
          <w:szCs w:val="28"/>
          <w:lang w:val="uk-UA"/>
        </w:rPr>
        <w:t>придбання</w:t>
      </w:r>
      <w:r w:rsidR="000406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062B">
        <w:rPr>
          <w:rFonts w:ascii="Times New Roman" w:hAnsi="Times New Roman"/>
          <w:sz w:val="28"/>
          <w:szCs w:val="28"/>
          <w:lang w:val="uk-UA"/>
        </w:rPr>
        <w:t>спецавтомобіля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Нарахування доходів безоплатно отриманих капітальних інвестицій проводитиметься пропорційно сумі нарахованої амортизації цих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згідно положень бухгалтерського обліку затвердженого наказом Міністерства фінансів України від 29.11.99 р. № 290.</w:t>
      </w:r>
      <w:r w:rsidR="00FB2875" w:rsidRPr="00BD75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2875" w:rsidRPr="00B65B8A" w:rsidRDefault="00FB2875" w:rsidP="00FB28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75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5399" w:rsidRDefault="00295399" w:rsidP="00BD3973">
      <w:pPr>
        <w:ind w:firstLine="540"/>
        <w:jc w:val="both"/>
        <w:rPr>
          <w:sz w:val="28"/>
          <w:szCs w:val="28"/>
          <w:lang w:val="uk-UA"/>
        </w:rPr>
      </w:pPr>
    </w:p>
    <w:p w:rsidR="00D24B59" w:rsidRDefault="00D24B59" w:rsidP="00F159FD">
      <w:pPr>
        <w:ind w:firstLine="900"/>
        <w:jc w:val="both"/>
        <w:rPr>
          <w:b/>
          <w:sz w:val="28"/>
          <w:szCs w:val="28"/>
          <w:lang w:val="uk-UA"/>
        </w:rPr>
      </w:pPr>
    </w:p>
    <w:p w:rsidR="007E1D81" w:rsidRDefault="006A41FC" w:rsidP="007E1D81">
      <w:pPr>
        <w:ind w:firstLine="9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="000E0A78">
        <w:rPr>
          <w:sz w:val="28"/>
          <w:szCs w:val="28"/>
          <w:lang w:val="uk-UA"/>
        </w:rPr>
        <w:t>начальника</w:t>
      </w:r>
      <w:r w:rsidR="007E1D81">
        <w:rPr>
          <w:sz w:val="28"/>
          <w:szCs w:val="28"/>
          <w:lang w:val="uk-UA"/>
        </w:rPr>
        <w:t xml:space="preserve"> </w:t>
      </w:r>
      <w:proofErr w:type="spellStart"/>
      <w:r w:rsidR="00D24B59" w:rsidRPr="00D24B59">
        <w:rPr>
          <w:sz w:val="28"/>
          <w:szCs w:val="28"/>
          <w:lang w:val="uk-UA"/>
        </w:rPr>
        <w:t>КП</w:t>
      </w:r>
      <w:proofErr w:type="spellEnd"/>
      <w:r w:rsidR="00D24B59" w:rsidRPr="00D24B59">
        <w:rPr>
          <w:sz w:val="28"/>
          <w:szCs w:val="28"/>
          <w:lang w:val="uk-UA"/>
        </w:rPr>
        <w:t xml:space="preserve"> </w:t>
      </w:r>
    </w:p>
    <w:p w:rsidR="00D24B59" w:rsidRPr="00D24B59" w:rsidRDefault="007E1D81" w:rsidP="00F159FD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«Фастівський </w:t>
      </w:r>
      <w:proofErr w:type="spellStart"/>
      <w:r>
        <w:rPr>
          <w:sz w:val="28"/>
          <w:szCs w:val="28"/>
          <w:lang w:val="uk-UA"/>
        </w:rPr>
        <w:t>ККП</w:t>
      </w:r>
      <w:proofErr w:type="spellEnd"/>
      <w:r>
        <w:rPr>
          <w:sz w:val="28"/>
          <w:szCs w:val="28"/>
          <w:lang w:val="uk-UA"/>
        </w:rPr>
        <w:t>»</w:t>
      </w:r>
      <w:r w:rsidR="00D24B59" w:rsidRPr="00D24B59">
        <w:rPr>
          <w:sz w:val="28"/>
          <w:szCs w:val="28"/>
          <w:lang w:val="uk-UA"/>
        </w:rPr>
        <w:t xml:space="preserve">                                  </w:t>
      </w:r>
      <w:r w:rsidR="00D24B59">
        <w:rPr>
          <w:sz w:val="28"/>
          <w:szCs w:val="28"/>
          <w:lang w:val="uk-UA"/>
        </w:rPr>
        <w:t xml:space="preserve">              </w:t>
      </w:r>
      <w:r w:rsidR="00C40F98">
        <w:rPr>
          <w:sz w:val="28"/>
          <w:szCs w:val="28"/>
          <w:lang w:val="uk-UA"/>
        </w:rPr>
        <w:t>І</w:t>
      </w:r>
      <w:r w:rsidR="006A41FC">
        <w:rPr>
          <w:sz w:val="28"/>
          <w:szCs w:val="28"/>
          <w:lang w:val="uk-UA"/>
        </w:rPr>
        <w:t>.</w:t>
      </w:r>
      <w:r w:rsidR="00C40F98">
        <w:rPr>
          <w:sz w:val="28"/>
          <w:szCs w:val="28"/>
          <w:lang w:val="uk-UA"/>
        </w:rPr>
        <w:t xml:space="preserve"> Б.</w:t>
      </w:r>
      <w:r w:rsidR="006A41FC">
        <w:rPr>
          <w:sz w:val="28"/>
          <w:szCs w:val="28"/>
          <w:lang w:val="uk-UA"/>
        </w:rPr>
        <w:t xml:space="preserve"> </w:t>
      </w:r>
      <w:proofErr w:type="spellStart"/>
      <w:r w:rsidR="00C40F98">
        <w:rPr>
          <w:sz w:val="28"/>
          <w:szCs w:val="28"/>
          <w:lang w:val="uk-UA"/>
        </w:rPr>
        <w:t>Вздульський</w:t>
      </w:r>
      <w:proofErr w:type="spellEnd"/>
    </w:p>
    <w:p w:rsidR="00B97900" w:rsidRDefault="00D24B59" w:rsidP="00F159FD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</w:p>
    <w:p w:rsidR="00B97900" w:rsidRDefault="00B97900" w:rsidP="000E0A78">
      <w:pPr>
        <w:jc w:val="both"/>
        <w:rPr>
          <w:b/>
          <w:sz w:val="28"/>
          <w:szCs w:val="28"/>
          <w:lang w:val="uk-UA"/>
        </w:rPr>
      </w:pPr>
    </w:p>
    <w:p w:rsidR="00B91085" w:rsidRPr="00FC6748" w:rsidRDefault="00B91085" w:rsidP="00B91085">
      <w:pPr>
        <w:jc w:val="both"/>
        <w:rPr>
          <w:b/>
          <w:sz w:val="28"/>
          <w:szCs w:val="28"/>
          <w:lang w:val="uk-UA"/>
        </w:rPr>
      </w:pPr>
    </w:p>
    <w:sectPr w:rsidR="00B91085" w:rsidRPr="00FC6748" w:rsidSect="00D024C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9CF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66"/>
    <w:multiLevelType w:val="hybridMultilevel"/>
    <w:tmpl w:val="7A50C450"/>
    <w:lvl w:ilvl="0" w:tplc="116E1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F05F0"/>
    <w:multiLevelType w:val="hybridMultilevel"/>
    <w:tmpl w:val="2DF6C514"/>
    <w:lvl w:ilvl="0" w:tplc="0150C5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30BE4"/>
    <w:rsid w:val="00012FD3"/>
    <w:rsid w:val="000131F8"/>
    <w:rsid w:val="00013D6E"/>
    <w:rsid w:val="00016A79"/>
    <w:rsid w:val="000212A8"/>
    <w:rsid w:val="00022AC5"/>
    <w:rsid w:val="00024C33"/>
    <w:rsid w:val="00025638"/>
    <w:rsid w:val="00031F59"/>
    <w:rsid w:val="000339FD"/>
    <w:rsid w:val="00035EC4"/>
    <w:rsid w:val="0004062B"/>
    <w:rsid w:val="000452DD"/>
    <w:rsid w:val="00054E8A"/>
    <w:rsid w:val="00060911"/>
    <w:rsid w:val="000668B0"/>
    <w:rsid w:val="00081338"/>
    <w:rsid w:val="00091137"/>
    <w:rsid w:val="000A079B"/>
    <w:rsid w:val="000A1E19"/>
    <w:rsid w:val="000C59AA"/>
    <w:rsid w:val="000D27E2"/>
    <w:rsid w:val="000D2A4B"/>
    <w:rsid w:val="000D554C"/>
    <w:rsid w:val="000E0A78"/>
    <w:rsid w:val="000E3F35"/>
    <w:rsid w:val="000E6448"/>
    <w:rsid w:val="000E6579"/>
    <w:rsid w:val="000F13E4"/>
    <w:rsid w:val="000F3DF1"/>
    <w:rsid w:val="000F4282"/>
    <w:rsid w:val="000F46B7"/>
    <w:rsid w:val="0010121A"/>
    <w:rsid w:val="001049CD"/>
    <w:rsid w:val="001100F8"/>
    <w:rsid w:val="00110657"/>
    <w:rsid w:val="00114829"/>
    <w:rsid w:val="00121777"/>
    <w:rsid w:val="00130B15"/>
    <w:rsid w:val="001329D2"/>
    <w:rsid w:val="00133B4A"/>
    <w:rsid w:val="001361BF"/>
    <w:rsid w:val="001366AF"/>
    <w:rsid w:val="00141E7C"/>
    <w:rsid w:val="00153E48"/>
    <w:rsid w:val="001603BC"/>
    <w:rsid w:val="00164778"/>
    <w:rsid w:val="00166630"/>
    <w:rsid w:val="00172DC6"/>
    <w:rsid w:val="00174E00"/>
    <w:rsid w:val="00175871"/>
    <w:rsid w:val="001835BD"/>
    <w:rsid w:val="001906D2"/>
    <w:rsid w:val="00191465"/>
    <w:rsid w:val="001A4DE5"/>
    <w:rsid w:val="001A7708"/>
    <w:rsid w:val="001B1B7D"/>
    <w:rsid w:val="001B56E8"/>
    <w:rsid w:val="001C6912"/>
    <w:rsid w:val="001D27A9"/>
    <w:rsid w:val="001D6C3A"/>
    <w:rsid w:val="001D7E50"/>
    <w:rsid w:val="001E7CA5"/>
    <w:rsid w:val="001F206E"/>
    <w:rsid w:val="001F4208"/>
    <w:rsid w:val="001F558A"/>
    <w:rsid w:val="001F6799"/>
    <w:rsid w:val="001F717D"/>
    <w:rsid w:val="00206CA4"/>
    <w:rsid w:val="002167AC"/>
    <w:rsid w:val="00216A24"/>
    <w:rsid w:val="00230BE4"/>
    <w:rsid w:val="0023153C"/>
    <w:rsid w:val="0023683E"/>
    <w:rsid w:val="002465AA"/>
    <w:rsid w:val="00246F2A"/>
    <w:rsid w:val="0025078C"/>
    <w:rsid w:val="002559AB"/>
    <w:rsid w:val="00257FF4"/>
    <w:rsid w:val="002603C9"/>
    <w:rsid w:val="00265ADA"/>
    <w:rsid w:val="00266F43"/>
    <w:rsid w:val="002709B4"/>
    <w:rsid w:val="00275030"/>
    <w:rsid w:val="002774A2"/>
    <w:rsid w:val="00280F55"/>
    <w:rsid w:val="002938B1"/>
    <w:rsid w:val="00295399"/>
    <w:rsid w:val="002A259A"/>
    <w:rsid w:val="002A361F"/>
    <w:rsid w:val="002A4832"/>
    <w:rsid w:val="002A49C3"/>
    <w:rsid w:val="002B149E"/>
    <w:rsid w:val="002B5905"/>
    <w:rsid w:val="002D6F55"/>
    <w:rsid w:val="002D6FE6"/>
    <w:rsid w:val="002E2F45"/>
    <w:rsid w:val="002E4E6F"/>
    <w:rsid w:val="002F2FEE"/>
    <w:rsid w:val="002F6CE6"/>
    <w:rsid w:val="002F762A"/>
    <w:rsid w:val="00304F89"/>
    <w:rsid w:val="003056AE"/>
    <w:rsid w:val="003106AD"/>
    <w:rsid w:val="00311EDC"/>
    <w:rsid w:val="00311EFE"/>
    <w:rsid w:val="00312C89"/>
    <w:rsid w:val="0031797D"/>
    <w:rsid w:val="003214C0"/>
    <w:rsid w:val="00321640"/>
    <w:rsid w:val="00322FA4"/>
    <w:rsid w:val="00330CF8"/>
    <w:rsid w:val="0033213E"/>
    <w:rsid w:val="003356AA"/>
    <w:rsid w:val="00337B3C"/>
    <w:rsid w:val="0034662E"/>
    <w:rsid w:val="003474BF"/>
    <w:rsid w:val="00352FBB"/>
    <w:rsid w:val="00361169"/>
    <w:rsid w:val="00367ABF"/>
    <w:rsid w:val="0037446D"/>
    <w:rsid w:val="00376E84"/>
    <w:rsid w:val="00377028"/>
    <w:rsid w:val="00377BD1"/>
    <w:rsid w:val="00384C1F"/>
    <w:rsid w:val="003A2317"/>
    <w:rsid w:val="003A258A"/>
    <w:rsid w:val="003A28C4"/>
    <w:rsid w:val="003A60E2"/>
    <w:rsid w:val="003A6C4E"/>
    <w:rsid w:val="003A79F3"/>
    <w:rsid w:val="003B212E"/>
    <w:rsid w:val="003B33A4"/>
    <w:rsid w:val="003B48B1"/>
    <w:rsid w:val="003C1888"/>
    <w:rsid w:val="003C64EB"/>
    <w:rsid w:val="003D48C6"/>
    <w:rsid w:val="003E2940"/>
    <w:rsid w:val="003E418B"/>
    <w:rsid w:val="003E496B"/>
    <w:rsid w:val="003F622C"/>
    <w:rsid w:val="0040247F"/>
    <w:rsid w:val="00402EA3"/>
    <w:rsid w:val="00405B66"/>
    <w:rsid w:val="00407E60"/>
    <w:rsid w:val="00413C51"/>
    <w:rsid w:val="00414EF4"/>
    <w:rsid w:val="004311F6"/>
    <w:rsid w:val="004353D6"/>
    <w:rsid w:val="004433AD"/>
    <w:rsid w:val="0045731E"/>
    <w:rsid w:val="00464416"/>
    <w:rsid w:val="004669FF"/>
    <w:rsid w:val="00473D2D"/>
    <w:rsid w:val="004745BD"/>
    <w:rsid w:val="004777C2"/>
    <w:rsid w:val="00483BC3"/>
    <w:rsid w:val="00490D08"/>
    <w:rsid w:val="00494018"/>
    <w:rsid w:val="0049654F"/>
    <w:rsid w:val="0049701F"/>
    <w:rsid w:val="004A48E3"/>
    <w:rsid w:val="004A71FF"/>
    <w:rsid w:val="004B74BB"/>
    <w:rsid w:val="004C16AC"/>
    <w:rsid w:val="004C4D7F"/>
    <w:rsid w:val="004D3435"/>
    <w:rsid w:val="004D4507"/>
    <w:rsid w:val="004D65F3"/>
    <w:rsid w:val="004D6D2C"/>
    <w:rsid w:val="004E6B34"/>
    <w:rsid w:val="00501F54"/>
    <w:rsid w:val="00516DA6"/>
    <w:rsid w:val="005231AE"/>
    <w:rsid w:val="00523268"/>
    <w:rsid w:val="00525C8D"/>
    <w:rsid w:val="005300A5"/>
    <w:rsid w:val="0053387B"/>
    <w:rsid w:val="005371AB"/>
    <w:rsid w:val="0053748F"/>
    <w:rsid w:val="005376FB"/>
    <w:rsid w:val="005415AB"/>
    <w:rsid w:val="0055110A"/>
    <w:rsid w:val="0055240F"/>
    <w:rsid w:val="00552C42"/>
    <w:rsid w:val="0055766B"/>
    <w:rsid w:val="0056198F"/>
    <w:rsid w:val="00563419"/>
    <w:rsid w:val="005649D6"/>
    <w:rsid w:val="005775A5"/>
    <w:rsid w:val="00585A1E"/>
    <w:rsid w:val="00587AE8"/>
    <w:rsid w:val="00590079"/>
    <w:rsid w:val="00591464"/>
    <w:rsid w:val="00594919"/>
    <w:rsid w:val="00595319"/>
    <w:rsid w:val="005A0DDA"/>
    <w:rsid w:val="005A25B1"/>
    <w:rsid w:val="005A39CA"/>
    <w:rsid w:val="005A6A4A"/>
    <w:rsid w:val="005B116F"/>
    <w:rsid w:val="005B5998"/>
    <w:rsid w:val="005B6713"/>
    <w:rsid w:val="005B7490"/>
    <w:rsid w:val="005D49A9"/>
    <w:rsid w:val="005D6E0C"/>
    <w:rsid w:val="005F15E9"/>
    <w:rsid w:val="005F1805"/>
    <w:rsid w:val="005F6380"/>
    <w:rsid w:val="005F67DE"/>
    <w:rsid w:val="0060048F"/>
    <w:rsid w:val="00602739"/>
    <w:rsid w:val="00606EFC"/>
    <w:rsid w:val="00616AB8"/>
    <w:rsid w:val="00621AC1"/>
    <w:rsid w:val="00633A12"/>
    <w:rsid w:val="00636A57"/>
    <w:rsid w:val="006370EF"/>
    <w:rsid w:val="00637788"/>
    <w:rsid w:val="00641080"/>
    <w:rsid w:val="00642B11"/>
    <w:rsid w:val="0064353A"/>
    <w:rsid w:val="00645BD1"/>
    <w:rsid w:val="006718AE"/>
    <w:rsid w:val="006803BF"/>
    <w:rsid w:val="006831C3"/>
    <w:rsid w:val="006851A3"/>
    <w:rsid w:val="00685A18"/>
    <w:rsid w:val="00693AEF"/>
    <w:rsid w:val="006959E6"/>
    <w:rsid w:val="0069723C"/>
    <w:rsid w:val="00697B60"/>
    <w:rsid w:val="006A0073"/>
    <w:rsid w:val="006A0E11"/>
    <w:rsid w:val="006A41FC"/>
    <w:rsid w:val="006A7340"/>
    <w:rsid w:val="006B15AC"/>
    <w:rsid w:val="006B3CFA"/>
    <w:rsid w:val="006B4B0C"/>
    <w:rsid w:val="006C0084"/>
    <w:rsid w:val="006C0579"/>
    <w:rsid w:val="006C2186"/>
    <w:rsid w:val="006C4B90"/>
    <w:rsid w:val="006C6E37"/>
    <w:rsid w:val="006D5FDE"/>
    <w:rsid w:val="006E1819"/>
    <w:rsid w:val="006E38C4"/>
    <w:rsid w:val="006F737A"/>
    <w:rsid w:val="007041EF"/>
    <w:rsid w:val="00710171"/>
    <w:rsid w:val="00712585"/>
    <w:rsid w:val="00726E38"/>
    <w:rsid w:val="00730387"/>
    <w:rsid w:val="007307EC"/>
    <w:rsid w:val="0073198F"/>
    <w:rsid w:val="00731D00"/>
    <w:rsid w:val="007328DD"/>
    <w:rsid w:val="00751584"/>
    <w:rsid w:val="00755A35"/>
    <w:rsid w:val="00756AFC"/>
    <w:rsid w:val="00765DDB"/>
    <w:rsid w:val="007726E1"/>
    <w:rsid w:val="00773719"/>
    <w:rsid w:val="007739BB"/>
    <w:rsid w:val="00775BAD"/>
    <w:rsid w:val="00781A9B"/>
    <w:rsid w:val="0078634D"/>
    <w:rsid w:val="00792DAD"/>
    <w:rsid w:val="0079313F"/>
    <w:rsid w:val="00796269"/>
    <w:rsid w:val="007D4E15"/>
    <w:rsid w:val="007E1D81"/>
    <w:rsid w:val="007E64E0"/>
    <w:rsid w:val="007F3338"/>
    <w:rsid w:val="007F3418"/>
    <w:rsid w:val="007F5C49"/>
    <w:rsid w:val="007F67E7"/>
    <w:rsid w:val="00807705"/>
    <w:rsid w:val="00810B8F"/>
    <w:rsid w:val="00814E3F"/>
    <w:rsid w:val="0082051A"/>
    <w:rsid w:val="008227BA"/>
    <w:rsid w:val="00842701"/>
    <w:rsid w:val="00847D04"/>
    <w:rsid w:val="00850D72"/>
    <w:rsid w:val="00860417"/>
    <w:rsid w:val="008665D8"/>
    <w:rsid w:val="00866E5A"/>
    <w:rsid w:val="00871C96"/>
    <w:rsid w:val="0087346C"/>
    <w:rsid w:val="0088351E"/>
    <w:rsid w:val="00894421"/>
    <w:rsid w:val="008960C6"/>
    <w:rsid w:val="008A033A"/>
    <w:rsid w:val="008C38EE"/>
    <w:rsid w:val="008C7994"/>
    <w:rsid w:val="008D0033"/>
    <w:rsid w:val="008D6CBF"/>
    <w:rsid w:val="008E18B3"/>
    <w:rsid w:val="008E7425"/>
    <w:rsid w:val="008F2DEF"/>
    <w:rsid w:val="008F592A"/>
    <w:rsid w:val="008F6606"/>
    <w:rsid w:val="008F6768"/>
    <w:rsid w:val="00903997"/>
    <w:rsid w:val="0090479A"/>
    <w:rsid w:val="009107C4"/>
    <w:rsid w:val="00915A02"/>
    <w:rsid w:val="00923EDE"/>
    <w:rsid w:val="0093666F"/>
    <w:rsid w:val="00940EE1"/>
    <w:rsid w:val="00944D51"/>
    <w:rsid w:val="00944EA2"/>
    <w:rsid w:val="00945B34"/>
    <w:rsid w:val="00945B8B"/>
    <w:rsid w:val="00952EBC"/>
    <w:rsid w:val="0095712B"/>
    <w:rsid w:val="009647F2"/>
    <w:rsid w:val="0096617B"/>
    <w:rsid w:val="00971826"/>
    <w:rsid w:val="0097561A"/>
    <w:rsid w:val="0098450D"/>
    <w:rsid w:val="00984559"/>
    <w:rsid w:val="00992F97"/>
    <w:rsid w:val="00994EDA"/>
    <w:rsid w:val="00996922"/>
    <w:rsid w:val="009A0433"/>
    <w:rsid w:val="009A23F1"/>
    <w:rsid w:val="009A5350"/>
    <w:rsid w:val="009B0E82"/>
    <w:rsid w:val="009B14B2"/>
    <w:rsid w:val="009B2333"/>
    <w:rsid w:val="009C5448"/>
    <w:rsid w:val="009D0468"/>
    <w:rsid w:val="009D09CD"/>
    <w:rsid w:val="009D36B2"/>
    <w:rsid w:val="009D5A26"/>
    <w:rsid w:val="009D76D6"/>
    <w:rsid w:val="009F024A"/>
    <w:rsid w:val="009F1060"/>
    <w:rsid w:val="009F4ED5"/>
    <w:rsid w:val="009F540B"/>
    <w:rsid w:val="00A024EA"/>
    <w:rsid w:val="00A0553E"/>
    <w:rsid w:val="00A1513C"/>
    <w:rsid w:val="00A26359"/>
    <w:rsid w:val="00A31E4A"/>
    <w:rsid w:val="00A3370A"/>
    <w:rsid w:val="00A33A29"/>
    <w:rsid w:val="00A37137"/>
    <w:rsid w:val="00A40002"/>
    <w:rsid w:val="00A4041E"/>
    <w:rsid w:val="00A40733"/>
    <w:rsid w:val="00A50A2E"/>
    <w:rsid w:val="00A5405A"/>
    <w:rsid w:val="00A569DE"/>
    <w:rsid w:val="00A6632A"/>
    <w:rsid w:val="00A664D8"/>
    <w:rsid w:val="00A70DA7"/>
    <w:rsid w:val="00A80795"/>
    <w:rsid w:val="00A84CB2"/>
    <w:rsid w:val="00A869FF"/>
    <w:rsid w:val="00A87248"/>
    <w:rsid w:val="00A94FC1"/>
    <w:rsid w:val="00A964B3"/>
    <w:rsid w:val="00AA0B03"/>
    <w:rsid w:val="00AA28A8"/>
    <w:rsid w:val="00AA57E5"/>
    <w:rsid w:val="00AA5DF2"/>
    <w:rsid w:val="00AA699C"/>
    <w:rsid w:val="00AC073B"/>
    <w:rsid w:val="00AC190C"/>
    <w:rsid w:val="00AC52FD"/>
    <w:rsid w:val="00AD47F3"/>
    <w:rsid w:val="00AD59E6"/>
    <w:rsid w:val="00AE02E1"/>
    <w:rsid w:val="00AE626C"/>
    <w:rsid w:val="00AF3441"/>
    <w:rsid w:val="00AF483E"/>
    <w:rsid w:val="00AF7C70"/>
    <w:rsid w:val="00B030F7"/>
    <w:rsid w:val="00B10AA0"/>
    <w:rsid w:val="00B126A7"/>
    <w:rsid w:val="00B13A97"/>
    <w:rsid w:val="00B15BFE"/>
    <w:rsid w:val="00B237E1"/>
    <w:rsid w:val="00B429C9"/>
    <w:rsid w:val="00B42ED4"/>
    <w:rsid w:val="00B469B9"/>
    <w:rsid w:val="00B555C4"/>
    <w:rsid w:val="00B61C7C"/>
    <w:rsid w:val="00B6667A"/>
    <w:rsid w:val="00B71768"/>
    <w:rsid w:val="00B760ED"/>
    <w:rsid w:val="00B7770C"/>
    <w:rsid w:val="00B905C6"/>
    <w:rsid w:val="00B91085"/>
    <w:rsid w:val="00B92003"/>
    <w:rsid w:val="00B93006"/>
    <w:rsid w:val="00B9354E"/>
    <w:rsid w:val="00B94FDE"/>
    <w:rsid w:val="00B97900"/>
    <w:rsid w:val="00BA24AD"/>
    <w:rsid w:val="00BA7A82"/>
    <w:rsid w:val="00BB355A"/>
    <w:rsid w:val="00BC132C"/>
    <w:rsid w:val="00BC2D5E"/>
    <w:rsid w:val="00BC46DB"/>
    <w:rsid w:val="00BC59F5"/>
    <w:rsid w:val="00BC650F"/>
    <w:rsid w:val="00BD36C9"/>
    <w:rsid w:val="00BD3973"/>
    <w:rsid w:val="00BE1A16"/>
    <w:rsid w:val="00BE28A2"/>
    <w:rsid w:val="00BE306B"/>
    <w:rsid w:val="00BF00EF"/>
    <w:rsid w:val="00BF60F0"/>
    <w:rsid w:val="00C00AA0"/>
    <w:rsid w:val="00C0620D"/>
    <w:rsid w:val="00C078C5"/>
    <w:rsid w:val="00C100B3"/>
    <w:rsid w:val="00C17FB4"/>
    <w:rsid w:val="00C32430"/>
    <w:rsid w:val="00C32437"/>
    <w:rsid w:val="00C36610"/>
    <w:rsid w:val="00C40F98"/>
    <w:rsid w:val="00C42D8D"/>
    <w:rsid w:val="00C44E61"/>
    <w:rsid w:val="00C44F4E"/>
    <w:rsid w:val="00C54120"/>
    <w:rsid w:val="00C5520E"/>
    <w:rsid w:val="00C57A81"/>
    <w:rsid w:val="00C643B7"/>
    <w:rsid w:val="00C7335D"/>
    <w:rsid w:val="00C73BB0"/>
    <w:rsid w:val="00C80A84"/>
    <w:rsid w:val="00C82ACB"/>
    <w:rsid w:val="00C82C33"/>
    <w:rsid w:val="00C834DF"/>
    <w:rsid w:val="00C87648"/>
    <w:rsid w:val="00C8770C"/>
    <w:rsid w:val="00C90455"/>
    <w:rsid w:val="00C904A9"/>
    <w:rsid w:val="00C9265D"/>
    <w:rsid w:val="00C9301E"/>
    <w:rsid w:val="00C938D8"/>
    <w:rsid w:val="00CA2AEB"/>
    <w:rsid w:val="00CA7A45"/>
    <w:rsid w:val="00CB2F54"/>
    <w:rsid w:val="00CB4868"/>
    <w:rsid w:val="00CB667D"/>
    <w:rsid w:val="00CC0530"/>
    <w:rsid w:val="00CC6AB9"/>
    <w:rsid w:val="00CE0CD7"/>
    <w:rsid w:val="00CE1C8A"/>
    <w:rsid w:val="00CE4F5D"/>
    <w:rsid w:val="00CF626D"/>
    <w:rsid w:val="00CF62A8"/>
    <w:rsid w:val="00D00C51"/>
    <w:rsid w:val="00D024CD"/>
    <w:rsid w:val="00D03FA1"/>
    <w:rsid w:val="00D146B0"/>
    <w:rsid w:val="00D17E3C"/>
    <w:rsid w:val="00D22299"/>
    <w:rsid w:val="00D24B59"/>
    <w:rsid w:val="00D27D88"/>
    <w:rsid w:val="00D3786D"/>
    <w:rsid w:val="00D41376"/>
    <w:rsid w:val="00D50FF4"/>
    <w:rsid w:val="00D53726"/>
    <w:rsid w:val="00D544A6"/>
    <w:rsid w:val="00D55825"/>
    <w:rsid w:val="00D668C1"/>
    <w:rsid w:val="00D72B66"/>
    <w:rsid w:val="00D8588F"/>
    <w:rsid w:val="00D97A46"/>
    <w:rsid w:val="00DA380D"/>
    <w:rsid w:val="00DA5B40"/>
    <w:rsid w:val="00DA771D"/>
    <w:rsid w:val="00DC33A3"/>
    <w:rsid w:val="00DC6258"/>
    <w:rsid w:val="00DD192E"/>
    <w:rsid w:val="00DD682F"/>
    <w:rsid w:val="00DE5E4C"/>
    <w:rsid w:val="00DF3872"/>
    <w:rsid w:val="00E0122E"/>
    <w:rsid w:val="00E02B6D"/>
    <w:rsid w:val="00E03B79"/>
    <w:rsid w:val="00E06D9D"/>
    <w:rsid w:val="00E1429B"/>
    <w:rsid w:val="00E167C1"/>
    <w:rsid w:val="00E20A64"/>
    <w:rsid w:val="00E279CF"/>
    <w:rsid w:val="00E352CD"/>
    <w:rsid w:val="00E3573B"/>
    <w:rsid w:val="00E35A59"/>
    <w:rsid w:val="00E3625A"/>
    <w:rsid w:val="00E40053"/>
    <w:rsid w:val="00E54915"/>
    <w:rsid w:val="00E579A0"/>
    <w:rsid w:val="00E60AF5"/>
    <w:rsid w:val="00E73247"/>
    <w:rsid w:val="00E80B65"/>
    <w:rsid w:val="00E827FF"/>
    <w:rsid w:val="00E847DB"/>
    <w:rsid w:val="00E93CEB"/>
    <w:rsid w:val="00EA1FA8"/>
    <w:rsid w:val="00EC341F"/>
    <w:rsid w:val="00EC6CB6"/>
    <w:rsid w:val="00ED54B3"/>
    <w:rsid w:val="00EE2536"/>
    <w:rsid w:val="00EE309B"/>
    <w:rsid w:val="00EE6843"/>
    <w:rsid w:val="00EF07FF"/>
    <w:rsid w:val="00EF1E78"/>
    <w:rsid w:val="00F0225F"/>
    <w:rsid w:val="00F03C68"/>
    <w:rsid w:val="00F13FF8"/>
    <w:rsid w:val="00F14786"/>
    <w:rsid w:val="00F159FD"/>
    <w:rsid w:val="00F16F00"/>
    <w:rsid w:val="00F245EB"/>
    <w:rsid w:val="00F250E9"/>
    <w:rsid w:val="00F32422"/>
    <w:rsid w:val="00F3497B"/>
    <w:rsid w:val="00F37114"/>
    <w:rsid w:val="00F4046D"/>
    <w:rsid w:val="00F462E1"/>
    <w:rsid w:val="00F556AC"/>
    <w:rsid w:val="00F61343"/>
    <w:rsid w:val="00F630FB"/>
    <w:rsid w:val="00F6713B"/>
    <w:rsid w:val="00F762D0"/>
    <w:rsid w:val="00F83398"/>
    <w:rsid w:val="00F83F50"/>
    <w:rsid w:val="00F8519F"/>
    <w:rsid w:val="00F8787D"/>
    <w:rsid w:val="00F9366A"/>
    <w:rsid w:val="00F946B3"/>
    <w:rsid w:val="00F95C14"/>
    <w:rsid w:val="00FA3B44"/>
    <w:rsid w:val="00FB0BC6"/>
    <w:rsid w:val="00FB2875"/>
    <w:rsid w:val="00FB4371"/>
    <w:rsid w:val="00FC0EA8"/>
    <w:rsid w:val="00FC6748"/>
    <w:rsid w:val="00FC6E48"/>
    <w:rsid w:val="00FD3713"/>
    <w:rsid w:val="00FD49D4"/>
    <w:rsid w:val="00FE04D2"/>
    <w:rsid w:val="00FE2F99"/>
    <w:rsid w:val="00FE3863"/>
    <w:rsid w:val="00FE447C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65ADA"/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qFormat/>
    <w:rsid w:val="00C100B3"/>
    <w:rPr>
      <w:rFonts w:ascii="Times New Roman" w:hAnsi="Times New Roman" w:cs="Times New Roman" w:hint="default"/>
      <w:i/>
      <w:iCs/>
    </w:rPr>
  </w:style>
  <w:style w:type="paragraph" w:customStyle="1" w:styleId="1">
    <w:name w:val="Без интервала1"/>
    <w:rsid w:val="00C100B3"/>
    <w:rPr>
      <w:rFonts w:ascii="Calibri" w:hAnsi="Calibri"/>
      <w:sz w:val="22"/>
      <w:szCs w:val="22"/>
    </w:rPr>
  </w:style>
  <w:style w:type="character" w:styleId="a6">
    <w:name w:val="Subtle Emphasis"/>
    <w:uiPriority w:val="19"/>
    <w:qFormat/>
    <w:rsid w:val="00C100B3"/>
    <w:rPr>
      <w:i/>
      <w:iCs/>
      <w:color w:val="808080"/>
    </w:rPr>
  </w:style>
  <w:style w:type="paragraph" w:styleId="a7">
    <w:name w:val="No Spacing"/>
    <w:uiPriority w:val="1"/>
    <w:qFormat/>
    <w:rsid w:val="00BC2D5E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2B149E"/>
  </w:style>
  <w:style w:type="paragraph" w:styleId="a8">
    <w:name w:val="List Paragraph"/>
    <w:basedOn w:val="a"/>
    <w:uiPriority w:val="34"/>
    <w:qFormat/>
    <w:rsid w:val="00807705"/>
    <w:pPr>
      <w:ind w:left="720"/>
      <w:contextualSpacing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unhideWhenUsed/>
    <w:rsid w:val="006718AE"/>
    <w:pPr>
      <w:widowControl w:val="0"/>
      <w:shd w:val="clear" w:color="auto" w:fill="FFFFFF"/>
      <w:suppressAutoHyphens/>
      <w:autoSpaceDE w:val="0"/>
      <w:ind w:left="398"/>
    </w:pPr>
    <w:rPr>
      <w:color w:val="000000"/>
      <w:spacing w:val="-1"/>
      <w:lang w:val="uk-UA" w:eastAsia="ar-SA"/>
    </w:rPr>
  </w:style>
  <w:style w:type="character" w:customStyle="1" w:styleId="aa">
    <w:name w:val="Основной текст с отступом Знак"/>
    <w:link w:val="a9"/>
    <w:rsid w:val="006718AE"/>
    <w:rPr>
      <w:color w:val="000000"/>
      <w:spacing w:val="-1"/>
      <w:sz w:val="24"/>
      <w:szCs w:val="24"/>
      <w:shd w:val="clear" w:color="auto" w:fill="FFFFFF"/>
      <w:lang w:eastAsia="ar-SA"/>
    </w:rPr>
  </w:style>
  <w:style w:type="paragraph" w:styleId="ab">
    <w:name w:val="Normal (Web)"/>
    <w:basedOn w:val="a"/>
    <w:uiPriority w:val="99"/>
    <w:semiHidden/>
    <w:unhideWhenUsed/>
    <w:rsid w:val="006718AE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uiPriority w:val="22"/>
    <w:qFormat/>
    <w:rsid w:val="006718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D5F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D5FDE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1D91-8D68-4EE6-BA5D-7D200DEA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13324</Words>
  <Characters>7596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 фінансового плану та фінансового звіту додається пояснювальна записка, яка містить інформація щодо ефективності роботи підп</vt:lpstr>
      <vt:lpstr>До фінансового плану та фінансового звіту додається пояснювальна записка, яка містить інформація щодо ефективності роботи підп</vt:lpstr>
    </vt:vector>
  </TitlesOfParts>
  <Company>Ya Blondinko Edition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фінансового плану та фінансового звіту додається пояснювальна записка, яка містить інформація щодо ефективності роботи підп</dc:title>
  <dc:creator>Test</dc:creator>
  <cp:lastModifiedBy>Користувач Windows</cp:lastModifiedBy>
  <cp:revision>2</cp:revision>
  <cp:lastPrinted>2020-07-22T06:42:00Z</cp:lastPrinted>
  <dcterms:created xsi:type="dcterms:W3CDTF">2020-12-24T12:42:00Z</dcterms:created>
  <dcterms:modified xsi:type="dcterms:W3CDTF">2020-12-24T12:42:00Z</dcterms:modified>
</cp:coreProperties>
</file>