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66" w:rsidRDefault="001F2AA5" w:rsidP="0058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611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913E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C112C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:rsidR="001F2AA5" w:rsidRPr="002C112C" w:rsidRDefault="00585466" w:rsidP="0058546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F2AA5" w:rsidRPr="002C11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                                 </w:t>
      </w:r>
    </w:p>
    <w:p w:rsidR="001F2AA5" w:rsidRPr="002C112C" w:rsidRDefault="001F2AA5" w:rsidP="00585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11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913E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11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5174A7" w:rsidRPr="005174A7">
        <w:rPr>
          <w:rFonts w:ascii="Times New Roman" w:eastAsia="Times New Roman" w:hAnsi="Times New Roman" w:cs="Times New Roman"/>
          <w:sz w:val="28"/>
          <w:szCs w:val="28"/>
        </w:rPr>
        <w:t xml:space="preserve">388 </w:t>
      </w:r>
      <w:r w:rsidR="005174A7">
        <w:rPr>
          <w:rFonts w:ascii="Times New Roman" w:eastAsia="Times New Roman" w:hAnsi="Times New Roman" w:cs="Times New Roman"/>
          <w:sz w:val="28"/>
          <w:szCs w:val="28"/>
          <w:lang w:val="uk-UA"/>
        </w:rPr>
        <w:t>од</w:t>
      </w:r>
      <w:r w:rsidRPr="002C11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</w:t>
      </w:r>
      <w:r w:rsidR="005174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20.12.2021</w:t>
      </w:r>
      <w:r w:rsidRPr="002C112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585466" w:rsidRDefault="001F2AA5" w:rsidP="005854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80D6E">
        <w:rPr>
          <w:rFonts w:ascii="Helvetica" w:eastAsia="Times New Roman" w:hAnsi="Helvetica" w:cs="Times New Roman"/>
          <w:color w:val="CE0000"/>
          <w:sz w:val="36"/>
          <w:szCs w:val="36"/>
          <w:lang w:val="uk-UA"/>
        </w:rPr>
        <w:br/>
      </w:r>
      <w:r w:rsidRPr="00FC0B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роботи по військовому обліку і бронюванню військовозобов’язаних працівників виконавчого комітету </w:t>
      </w:r>
    </w:p>
    <w:p w:rsidR="001F2AA5" w:rsidRPr="00FC0B2B" w:rsidRDefault="001F2AA5" w:rsidP="005854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C0B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Фастівської міської ради на</w:t>
      </w:r>
      <w:r w:rsidRPr="00FC0B2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FC0B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FA75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FC0B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1F2AA5" w:rsidRDefault="001F2AA5" w:rsidP="001F2A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870"/>
        <w:gridCol w:w="1651"/>
        <w:gridCol w:w="2224"/>
        <w:gridCol w:w="1258"/>
      </w:tblGrid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112C">
              <w:rPr>
                <w:rFonts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112C">
              <w:rPr>
                <w:rFonts w:cs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112C">
              <w:rPr>
                <w:rFonts w:cs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C112C">
              <w:rPr>
                <w:rFonts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9571" w:type="dxa"/>
            <w:gridSpan w:val="5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Style w:val="Bold"/>
                <w:rFonts w:cs="Times New Roman"/>
                <w:sz w:val="28"/>
                <w:szCs w:val="28"/>
              </w:rPr>
              <w:t>І. Постійні заходи</w:t>
            </w: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Перевірка у громадян наявності військово-облікових документів та відмітки про взяття на військовий облік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Під час прийняття на роботу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Оформлення особових карток (</w:t>
            </w:r>
            <w:r w:rsidRPr="002C112C">
              <w:rPr>
                <w:rFonts w:cs="Times New Roman"/>
                <w:sz w:val="28"/>
                <w:szCs w:val="28"/>
              </w:rPr>
              <w:t>типова форма № П-2) на військовозобов’язаних і призовників, прийнятих на роботу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У день прийняття на роботу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Повідомлення </w:t>
            </w:r>
            <w:r w:rsidR="00822CAB" w:rsidRPr="005656B2">
              <w:rPr>
                <w:sz w:val="28"/>
                <w:szCs w:val="28"/>
              </w:rPr>
              <w:t>РТЦК  та  СП</w:t>
            </w:r>
            <w:r w:rsidR="003A6F2B">
              <w:rPr>
                <w:sz w:val="28"/>
                <w:szCs w:val="28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</w:rPr>
              <w:t xml:space="preserve"> про прийняття на роботу або звільнення з роботи військовозобов’язаних і призовників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</w:rPr>
              <w:t>Упродовж 7 днів з дня прийняття на роботу або звільнення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Внесення до особових карток призовників і військовозобов’язаних змін щодо сімейного стану, місця проживання (перебування), освіти, місця роботи і посади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Упродовж 5 днів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з дня подання відповідних документів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93" w:type="dxa"/>
          </w:tcPr>
          <w:p w:rsidR="001F2AA5" w:rsidRDefault="001F2AA5" w:rsidP="003A6F2B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Повідомлення </w:t>
            </w:r>
            <w:r w:rsidR="003A6F2B">
              <w:rPr>
                <w:rFonts w:cs="Times New Roman"/>
                <w:sz w:val="28"/>
                <w:szCs w:val="28"/>
              </w:rPr>
              <w:t xml:space="preserve"> </w:t>
            </w:r>
            <w:r w:rsidR="003A6F2B" w:rsidRPr="003A6F2B">
              <w:rPr>
                <w:sz w:val="28"/>
                <w:szCs w:val="28"/>
              </w:rPr>
              <w:t>РТЦК  СП</w:t>
            </w:r>
            <w:r w:rsidR="003A6F2B" w:rsidRPr="002C112C">
              <w:rPr>
                <w:rFonts w:cs="Times New Roman"/>
                <w:sz w:val="28"/>
                <w:szCs w:val="28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</w:rPr>
              <w:t>про зміни в облікових даних військовозобов’язаних та призовників</w:t>
            </w:r>
          </w:p>
          <w:p w:rsidR="00822CAB" w:rsidRPr="002C112C" w:rsidRDefault="00822CAB" w:rsidP="003A6F2B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До 5 числа щомісяця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93" w:type="dxa"/>
          </w:tcPr>
          <w:p w:rsidR="00F82E7C" w:rsidRPr="002C112C" w:rsidRDefault="001F2AA5" w:rsidP="007377DD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</w:t>
            </w:r>
            <w:r w:rsidR="000A149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A149E" w:rsidRPr="005656B2">
              <w:rPr>
                <w:sz w:val="28"/>
                <w:szCs w:val="28"/>
              </w:rPr>
              <w:t>РТЦК  та  СП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Постійно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Формування у блокноти бланків розписок про прийняття на зберігання військово-облікового документа. </w:t>
            </w:r>
          </w:p>
        </w:tc>
        <w:tc>
          <w:tcPr>
            <w:tcW w:w="1599" w:type="dxa"/>
          </w:tcPr>
          <w:p w:rsidR="001F2AA5" w:rsidRPr="002C112C" w:rsidRDefault="001F2AA5" w:rsidP="00165371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Протягом року до наступного звіряння облікових даних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2AA5" w:rsidRPr="002C112C" w:rsidTr="008A5AB9">
        <w:tc>
          <w:tcPr>
            <w:tcW w:w="9571" w:type="dxa"/>
            <w:gridSpan w:val="5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Style w:val="Bold"/>
                <w:rFonts w:cs="Times New Roman"/>
                <w:sz w:val="28"/>
                <w:szCs w:val="28"/>
              </w:rPr>
              <w:t>ІІ. Періодичні заходи</w:t>
            </w: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Звіряння особових карток призовників і військовозобов’язаних із записами у військово-облікових документах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Раз на рік відповідно до графіка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Звіряння особових карток працівників з обліковими документами </w:t>
            </w:r>
            <w:r w:rsidR="004E2772" w:rsidRPr="005656B2">
              <w:rPr>
                <w:sz w:val="28"/>
                <w:szCs w:val="28"/>
              </w:rPr>
              <w:t>РТЦК  та  СП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Раз на рік відповідно до графіка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Приймання під розписку від призовників і військовозобов’язаних військово-облікових документів для подання до </w:t>
            </w:r>
            <w:r w:rsidR="004E2772" w:rsidRPr="005656B2">
              <w:rPr>
                <w:sz w:val="28"/>
                <w:szCs w:val="28"/>
              </w:rPr>
              <w:t>РТЦК  та  СП</w:t>
            </w:r>
            <w:r w:rsidR="004E2772"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E277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для звіряння з картками первинного обліку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Раз на рік відповідно до графіка звіряння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Вилучення із картотеки карток військовозобов’язаних,</w:t>
            </w:r>
            <w:r w:rsidR="004E2772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які підлягають виключенню з військового обліку за віком (за підсумками попереднього року)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Січень-лютий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Подання до </w:t>
            </w:r>
            <w:r w:rsidR="005656B2" w:rsidRPr="005656B2">
              <w:rPr>
                <w:sz w:val="28"/>
                <w:szCs w:val="28"/>
              </w:rPr>
              <w:t>РТЦК  та  СП</w:t>
            </w:r>
            <w:r w:rsidR="005656B2"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списків громадян, які підлягають приписці до призовних дільниць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До 01.12.20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993" w:type="dxa"/>
          </w:tcPr>
          <w:p w:rsidR="001F2AA5" w:rsidRPr="002C112C" w:rsidRDefault="001F2AA5" w:rsidP="00FA75D8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Планування роботи з військового обліку військовозобов’язаних і призовників на 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FA75D8">
              <w:rPr>
                <w:rFonts w:cs="Times New Roman"/>
                <w:sz w:val="28"/>
                <w:szCs w:val="28"/>
              </w:rPr>
              <w:t>2</w:t>
            </w:r>
            <w:r w:rsidRPr="002C112C">
              <w:rPr>
                <w:rFonts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993" w:type="dxa"/>
          </w:tcPr>
          <w:p w:rsidR="001F2AA5" w:rsidRPr="002C112C" w:rsidRDefault="001F2AA5" w:rsidP="00FA75D8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Планування звірки особових карток військовозобов’язаних та призовників з військово-обліковими документами та з обліковими даними військкоматів у 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FA75D8">
              <w:rPr>
                <w:rFonts w:cs="Times New Roman"/>
                <w:sz w:val="28"/>
                <w:szCs w:val="28"/>
              </w:rPr>
              <w:t>2</w:t>
            </w:r>
            <w:r w:rsidRPr="002C112C">
              <w:rPr>
                <w:rFonts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9571" w:type="dxa"/>
            <w:gridSpan w:val="5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Style w:val="Bold"/>
                <w:rFonts w:cs="Times New Roman"/>
                <w:sz w:val="28"/>
                <w:szCs w:val="28"/>
              </w:rPr>
              <w:t>ІІІ. Заходи, виконувані за потреби</w:t>
            </w: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Оповіщення військовозобов’язаних та призовників про виклик до </w:t>
            </w:r>
            <w:r w:rsidR="005656B2" w:rsidRPr="005656B2">
              <w:rPr>
                <w:sz w:val="28"/>
                <w:szCs w:val="28"/>
              </w:rPr>
              <w:lastRenderedPageBreak/>
              <w:t>РТЦК  та  СП</w:t>
            </w:r>
            <w:r w:rsidR="005656B2"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</w:rPr>
              <w:t>і забезпечення своєчасного прибуття за викликом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lastRenderedPageBreak/>
              <w:t xml:space="preserve">Згідно з вимогами </w:t>
            </w:r>
            <w:r w:rsidR="00254BD7" w:rsidRPr="005656B2">
              <w:rPr>
                <w:sz w:val="28"/>
                <w:szCs w:val="28"/>
              </w:rPr>
              <w:t xml:space="preserve">РТЦК  та  </w:t>
            </w:r>
            <w:r w:rsidR="00254BD7" w:rsidRPr="005656B2">
              <w:rPr>
                <w:sz w:val="28"/>
                <w:szCs w:val="28"/>
              </w:rPr>
              <w:lastRenderedPageBreak/>
              <w:t>СП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lastRenderedPageBreak/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Надання до </w:t>
            </w:r>
            <w:r w:rsidR="004E2772" w:rsidRPr="005656B2">
              <w:rPr>
                <w:sz w:val="28"/>
                <w:szCs w:val="28"/>
              </w:rPr>
              <w:t>РТЦК  та  СП</w:t>
            </w:r>
            <w:r w:rsidR="004E2772"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списків призовників і військовозобов’язаних</w:t>
            </w:r>
          </w:p>
        </w:tc>
        <w:tc>
          <w:tcPr>
            <w:tcW w:w="1599" w:type="dxa"/>
          </w:tcPr>
          <w:p w:rsidR="001F2AA5" w:rsidRPr="00254BD7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54BD7">
              <w:rPr>
                <w:rFonts w:cs="Times New Roman"/>
                <w:sz w:val="28"/>
                <w:szCs w:val="28"/>
              </w:rPr>
              <w:t xml:space="preserve">На вимогу </w:t>
            </w:r>
            <w:r w:rsidR="00254BD7">
              <w:rPr>
                <w:rFonts w:cs="Times New Roman"/>
                <w:sz w:val="28"/>
                <w:szCs w:val="28"/>
              </w:rPr>
              <w:t>начальника</w:t>
            </w:r>
            <w:r w:rsidRPr="00254BD7">
              <w:rPr>
                <w:rFonts w:cs="Times New Roman"/>
                <w:sz w:val="28"/>
                <w:szCs w:val="28"/>
                <w:highlight w:val="yellow"/>
              </w:rPr>
              <w:t xml:space="preserve"> </w:t>
            </w:r>
            <w:r w:rsidR="00254BD7" w:rsidRPr="005656B2">
              <w:rPr>
                <w:sz w:val="28"/>
                <w:szCs w:val="28"/>
              </w:rPr>
              <w:t>РТЦК  та  СП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Направлення до </w:t>
            </w:r>
            <w:r w:rsidR="005656B2" w:rsidRPr="005656B2">
              <w:rPr>
                <w:sz w:val="28"/>
                <w:szCs w:val="28"/>
              </w:rPr>
              <w:t>РТЦК  та  СП</w:t>
            </w:r>
            <w:r w:rsidR="005656B2" w:rsidRPr="002C112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військовозобов’язаних і працівників для внесення змін до військово-облікових документів (виключення з обліку при досягненні граничного віку перебування в запасі, взяття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на облік після проходження військової служби тощо)</w:t>
            </w:r>
          </w:p>
        </w:tc>
        <w:tc>
          <w:tcPr>
            <w:tcW w:w="1599" w:type="dxa"/>
          </w:tcPr>
          <w:p w:rsidR="001F2AA5" w:rsidRPr="002C112C" w:rsidRDefault="001F2AA5" w:rsidP="00254BD7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За наявності підстав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Повідомлення </w:t>
            </w:r>
            <w:r w:rsidR="005656B2" w:rsidRPr="003A6F2B">
              <w:rPr>
                <w:sz w:val="28"/>
                <w:szCs w:val="28"/>
              </w:rPr>
              <w:t>РТЦК  СП</w:t>
            </w:r>
            <w:r w:rsidRPr="002C112C">
              <w:rPr>
                <w:rFonts w:cs="Times New Roman"/>
                <w:sz w:val="28"/>
                <w:szCs w:val="28"/>
              </w:rPr>
              <w:t xml:space="preserve"> про посадових осіб, військовозобов’язаних та призовників, які порушили вимоги законодавства про військовий обов’язок і військову службу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За наявності порушень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Повідомлення </w:t>
            </w:r>
            <w:r w:rsidR="009A0048" w:rsidRPr="005656B2">
              <w:rPr>
                <w:sz w:val="28"/>
                <w:szCs w:val="28"/>
              </w:rPr>
              <w:t>РТЦК  та  СП</w:t>
            </w:r>
            <w:r w:rsidRPr="002C112C">
              <w:rPr>
                <w:rFonts w:cs="Times New Roman"/>
                <w:sz w:val="28"/>
                <w:szCs w:val="28"/>
              </w:rPr>
              <w:t xml:space="preserve"> про </w:t>
            </w: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призначення, переміщення і звільнення особи, відповідальної за ведення військового обліку</w:t>
            </w:r>
          </w:p>
          <w:p w:rsidR="001F2AA5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  <w:p w:rsidR="009A0048" w:rsidRPr="002C112C" w:rsidRDefault="009A0048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  <w:shd w:val="clear" w:color="auto" w:fill="FFFFFF"/>
              </w:rPr>
              <w:t>У 7-денний строк</w:t>
            </w:r>
          </w:p>
        </w:tc>
        <w:tc>
          <w:tcPr>
            <w:tcW w:w="2045" w:type="dxa"/>
          </w:tcPr>
          <w:p w:rsidR="001F2AA5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</w:p>
          <w:p w:rsidR="001F2AA5" w:rsidRPr="002C112C" w:rsidRDefault="001F2AA5" w:rsidP="008A5AB9">
            <w:pPr>
              <w:pStyle w:val="Ctrl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відділу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F2AA5" w:rsidRPr="002C112C" w:rsidTr="008A5AB9">
        <w:tc>
          <w:tcPr>
            <w:tcW w:w="52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993" w:type="dxa"/>
          </w:tcPr>
          <w:p w:rsidR="001F2AA5" w:rsidRPr="002C112C" w:rsidRDefault="001F2AA5" w:rsidP="008A5AB9">
            <w:pPr>
              <w:pStyle w:val="Ctrl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 xml:space="preserve">Повідомлення </w:t>
            </w:r>
            <w:r w:rsidR="009A0048" w:rsidRPr="005656B2">
              <w:rPr>
                <w:sz w:val="28"/>
                <w:szCs w:val="28"/>
              </w:rPr>
              <w:t>РТЦК  та  СП</w:t>
            </w:r>
            <w:r w:rsidRPr="002C112C">
              <w:rPr>
                <w:rFonts w:cs="Times New Roman"/>
                <w:sz w:val="28"/>
                <w:szCs w:val="28"/>
              </w:rPr>
              <w:t xml:space="preserve"> про зміну назви, місцезнаходження, телефонів установи</w:t>
            </w:r>
          </w:p>
        </w:tc>
        <w:tc>
          <w:tcPr>
            <w:tcW w:w="1599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У 7-денний строк</w:t>
            </w:r>
          </w:p>
        </w:tc>
        <w:tc>
          <w:tcPr>
            <w:tcW w:w="2045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C112C">
              <w:rPr>
                <w:rFonts w:cs="Times New Roman"/>
                <w:sz w:val="28"/>
                <w:szCs w:val="28"/>
              </w:rPr>
              <w:t>Петренко І.А.</w:t>
            </w:r>
          </w:p>
        </w:tc>
        <w:tc>
          <w:tcPr>
            <w:tcW w:w="1407" w:type="dxa"/>
          </w:tcPr>
          <w:p w:rsidR="001F2AA5" w:rsidRPr="002C112C" w:rsidRDefault="001F2AA5" w:rsidP="008A5AB9">
            <w:pPr>
              <w:pStyle w:val="Ctrl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1F2AA5" w:rsidRDefault="001F2AA5" w:rsidP="001F2AA5">
      <w:pPr>
        <w:pStyle w:val="Ctrl"/>
        <w:ind w:hanging="142"/>
        <w:jc w:val="left"/>
        <w:rPr>
          <w:rFonts w:cs="Times New Roman"/>
          <w:sz w:val="28"/>
          <w:szCs w:val="28"/>
        </w:rPr>
      </w:pPr>
    </w:p>
    <w:p w:rsidR="001B7CEC" w:rsidRDefault="001B7CEC" w:rsidP="001F2AA5">
      <w:pPr>
        <w:pStyle w:val="Ctrl"/>
        <w:ind w:hanging="142"/>
        <w:jc w:val="left"/>
        <w:rPr>
          <w:rFonts w:cs="Times New Roman"/>
          <w:sz w:val="28"/>
          <w:szCs w:val="28"/>
        </w:rPr>
      </w:pPr>
    </w:p>
    <w:p w:rsidR="009A0048" w:rsidRDefault="001F2AA5" w:rsidP="001F2AA5">
      <w:pPr>
        <w:pStyle w:val="Ctrl"/>
        <w:ind w:hanging="142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Керуючий справами </w:t>
      </w:r>
      <w:r w:rsidR="009A0048">
        <w:rPr>
          <w:rFonts w:cs="Times New Roman"/>
          <w:sz w:val="28"/>
          <w:szCs w:val="28"/>
        </w:rPr>
        <w:t xml:space="preserve">(секретар ) </w:t>
      </w:r>
    </w:p>
    <w:p w:rsidR="001F2AA5" w:rsidRDefault="001F2AA5" w:rsidP="001F2AA5">
      <w:pPr>
        <w:pStyle w:val="Ctrl"/>
        <w:ind w:hanging="142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виконавчого комітету                                </w:t>
      </w:r>
      <w:r w:rsidR="009A0048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>Л.О.Тхоржевська</w:t>
      </w:r>
    </w:p>
    <w:p w:rsidR="001F2AA5" w:rsidRDefault="001F2AA5" w:rsidP="001F2AA5">
      <w:pPr>
        <w:pStyle w:val="Ctrl"/>
        <w:ind w:hanging="142"/>
        <w:jc w:val="left"/>
        <w:rPr>
          <w:rFonts w:cs="Times New Roman"/>
          <w:sz w:val="28"/>
          <w:szCs w:val="28"/>
        </w:rPr>
      </w:pPr>
    </w:p>
    <w:p w:rsidR="001F2AA5" w:rsidRPr="005A565A" w:rsidRDefault="001F2AA5" w:rsidP="001F2AA5">
      <w:pPr>
        <w:pStyle w:val="Ctrl"/>
        <w:ind w:hanging="142"/>
        <w:jc w:val="left"/>
        <w:rPr>
          <w:rFonts w:cs="Times New Roman"/>
          <w:sz w:val="28"/>
          <w:szCs w:val="28"/>
        </w:rPr>
      </w:pPr>
      <w:r w:rsidRPr="005A565A">
        <w:rPr>
          <w:rFonts w:cs="Times New Roman"/>
          <w:sz w:val="28"/>
          <w:szCs w:val="28"/>
        </w:rPr>
        <w:t>Відповідальна за ведення військового обліку</w:t>
      </w:r>
    </w:p>
    <w:p w:rsidR="001F2AA5" w:rsidRPr="005A565A" w:rsidRDefault="001F2AA5" w:rsidP="001F2AA5">
      <w:pPr>
        <w:pStyle w:val="Ctrl"/>
        <w:tabs>
          <w:tab w:val="left" w:pos="5954"/>
          <w:tab w:val="left" w:pos="8647"/>
        </w:tabs>
        <w:ind w:hanging="142"/>
        <w:jc w:val="left"/>
        <w:rPr>
          <w:rFonts w:cs="Times New Roman"/>
          <w:sz w:val="28"/>
          <w:szCs w:val="28"/>
        </w:rPr>
      </w:pPr>
      <w:r w:rsidRPr="005A565A">
        <w:rPr>
          <w:rFonts w:cs="Times New Roman"/>
          <w:sz w:val="28"/>
          <w:szCs w:val="28"/>
        </w:rPr>
        <w:t>військовозобов’язаних та п</w:t>
      </w:r>
      <w:r w:rsidR="009A0048">
        <w:rPr>
          <w:rFonts w:cs="Times New Roman"/>
          <w:sz w:val="28"/>
          <w:szCs w:val="28"/>
        </w:rPr>
        <w:t>ризовників</w:t>
      </w:r>
      <w:r w:rsidR="009A0048">
        <w:rPr>
          <w:rFonts w:cs="Times New Roman"/>
          <w:sz w:val="28"/>
          <w:szCs w:val="28"/>
        </w:rPr>
        <w:tab/>
        <w:t xml:space="preserve">                   </w:t>
      </w:r>
      <w:r w:rsidRPr="005A565A">
        <w:rPr>
          <w:rFonts w:cs="Times New Roman"/>
          <w:sz w:val="28"/>
          <w:szCs w:val="28"/>
        </w:rPr>
        <w:t xml:space="preserve">І.А.Петренко </w:t>
      </w:r>
    </w:p>
    <w:p w:rsidR="001F2AA5" w:rsidRDefault="001F2AA5" w:rsidP="001F2AA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AA5" w:rsidRDefault="001F2AA5" w:rsidP="001F2AA5">
      <w:pPr>
        <w:pStyle w:val="a3"/>
        <w:rPr>
          <w:sz w:val="28"/>
          <w:szCs w:val="28"/>
        </w:rPr>
      </w:pPr>
    </w:p>
    <w:p w:rsidR="001F2AA5" w:rsidRDefault="001F2AA5" w:rsidP="001F2AA5">
      <w:pPr>
        <w:pStyle w:val="a3"/>
        <w:rPr>
          <w:sz w:val="28"/>
          <w:szCs w:val="28"/>
        </w:rPr>
      </w:pPr>
    </w:p>
    <w:p w:rsidR="00F42F2C" w:rsidRPr="001F2AA5" w:rsidRDefault="00F42F2C">
      <w:pPr>
        <w:rPr>
          <w:lang w:val="uk-UA"/>
        </w:rPr>
      </w:pPr>
    </w:p>
    <w:sectPr w:rsidR="00F42F2C" w:rsidRPr="001F2AA5" w:rsidSect="00F82E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2AA5"/>
    <w:rsid w:val="000A149E"/>
    <w:rsid w:val="00165371"/>
    <w:rsid w:val="001B7CEC"/>
    <w:rsid w:val="001F2AA5"/>
    <w:rsid w:val="00254BD7"/>
    <w:rsid w:val="003428D3"/>
    <w:rsid w:val="00384EA4"/>
    <w:rsid w:val="003A6F2B"/>
    <w:rsid w:val="004E2772"/>
    <w:rsid w:val="00500065"/>
    <w:rsid w:val="005174A7"/>
    <w:rsid w:val="005656B2"/>
    <w:rsid w:val="00585466"/>
    <w:rsid w:val="007377DD"/>
    <w:rsid w:val="00776F63"/>
    <w:rsid w:val="00822CAB"/>
    <w:rsid w:val="00880393"/>
    <w:rsid w:val="00913E4C"/>
    <w:rsid w:val="0094159D"/>
    <w:rsid w:val="009A0048"/>
    <w:rsid w:val="00B60B28"/>
    <w:rsid w:val="00D13DB8"/>
    <w:rsid w:val="00D857DF"/>
    <w:rsid w:val="00F42F2C"/>
    <w:rsid w:val="00F82E7C"/>
    <w:rsid w:val="00FA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A4"/>
  </w:style>
  <w:style w:type="paragraph" w:styleId="4">
    <w:name w:val="heading 4"/>
    <w:basedOn w:val="a"/>
    <w:link w:val="40"/>
    <w:uiPriority w:val="9"/>
    <w:qFormat/>
    <w:rsid w:val="001F2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2A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trl">
    <w:name w:val="Статья_основной_текст (Статья ___Ctrl)"/>
    <w:uiPriority w:val="1"/>
    <w:rsid w:val="001F2A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 w:eastAsia="en-US"/>
    </w:rPr>
  </w:style>
  <w:style w:type="character" w:customStyle="1" w:styleId="Bold">
    <w:name w:val="Bold"/>
    <w:rsid w:val="001F2AA5"/>
    <w:rPr>
      <w:rFonts w:ascii="Times New Roman" w:hAnsi="Times New Roman"/>
      <w:b/>
      <w:bCs/>
    </w:rPr>
  </w:style>
  <w:style w:type="paragraph" w:styleId="a3">
    <w:name w:val="Title"/>
    <w:basedOn w:val="a"/>
    <w:link w:val="a4"/>
    <w:qFormat/>
    <w:rsid w:val="001F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rsid w:val="001F2AA5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6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2654</Words>
  <Characters>1513</Characters>
  <Application>Microsoft Office Word</Application>
  <DocSecurity>0</DocSecurity>
  <Lines>12</Lines>
  <Paragraphs>8</Paragraphs>
  <ScaleCrop>false</ScaleCrop>
  <Company>Ya Blondinko Edition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LogicPower</cp:lastModifiedBy>
  <cp:revision>2</cp:revision>
  <dcterms:created xsi:type="dcterms:W3CDTF">2021-12-20T12:16:00Z</dcterms:created>
  <dcterms:modified xsi:type="dcterms:W3CDTF">2021-12-20T12:16:00Z</dcterms:modified>
</cp:coreProperties>
</file>