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7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"/>
        <w:gridCol w:w="2092"/>
        <w:gridCol w:w="897"/>
        <w:gridCol w:w="1623"/>
        <w:gridCol w:w="5382"/>
      </w:tblGrid>
      <w:tr w:rsidR="00017F5F" w:rsidRPr="00B332C6" w:rsidTr="00744DD1">
        <w:trPr>
          <w:trHeight w:val="823"/>
        </w:trPr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5F" w:rsidRPr="00B332C6" w:rsidRDefault="00017F5F" w:rsidP="00202416">
            <w:pPr>
              <w:jc w:val="center"/>
              <w:rPr>
                <w:sz w:val="24"/>
                <w:szCs w:val="24"/>
                <w:lang w:val="ru-RU"/>
              </w:rPr>
            </w:pPr>
            <w:r w:rsidRPr="00C47E79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5.5pt;height:73.5pt;visibility:visible">
                  <v:imagedata r:id="rId6" o:title=""/>
                </v:shape>
              </w:pic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5F" w:rsidRPr="00B332C6" w:rsidRDefault="00017F5F" w:rsidP="0020241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017F5F" w:rsidRPr="003A6C64" w:rsidTr="00744DD1">
        <w:trPr>
          <w:trHeight w:val="184"/>
        </w:trPr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5F" w:rsidRPr="00B332C6" w:rsidRDefault="00017F5F" w:rsidP="00202416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5F" w:rsidRPr="00B332C6" w:rsidRDefault="00017F5F" w:rsidP="00202416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017F5F" w:rsidRPr="003A6C64" w:rsidRDefault="00017F5F" w:rsidP="00202416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017F5F" w:rsidRPr="003A6C64" w:rsidRDefault="00017F5F" w:rsidP="0020241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3A6C64">
              <w:rPr>
                <w:sz w:val="24"/>
                <w:szCs w:val="24"/>
                <w:lang w:val="ru-RU"/>
              </w:rPr>
              <w:t xml:space="preserve"> 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017F5F" w:rsidRPr="00B332C6" w:rsidTr="002964DA">
        <w:trPr>
          <w:trHeight w:val="2182"/>
        </w:trPr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F" w:rsidRDefault="00017F5F" w:rsidP="00DA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  <w:p w:rsidR="00017F5F" w:rsidRDefault="00017F5F" w:rsidP="00DA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  <w:p w:rsidR="00017F5F" w:rsidRDefault="00017F5F" w:rsidP="00DA4C6E">
            <w:pPr>
              <w:rPr>
                <w:sz w:val="24"/>
                <w:szCs w:val="24"/>
              </w:rPr>
            </w:pPr>
          </w:p>
          <w:p w:rsidR="00017F5F" w:rsidRDefault="00017F5F" w:rsidP="00DA4C6E">
            <w:pPr>
              <w:rPr>
                <w:sz w:val="24"/>
                <w:szCs w:val="24"/>
              </w:rPr>
            </w:pPr>
          </w:p>
          <w:p w:rsidR="00017F5F" w:rsidRDefault="00017F5F" w:rsidP="00DA4C6E">
            <w:pPr>
              <w:rPr>
                <w:sz w:val="24"/>
                <w:szCs w:val="24"/>
              </w:rPr>
            </w:pPr>
          </w:p>
          <w:p w:rsidR="00017F5F" w:rsidRDefault="00017F5F" w:rsidP="00DA4C6E">
            <w:pPr>
              <w:rPr>
                <w:sz w:val="24"/>
                <w:szCs w:val="24"/>
              </w:rPr>
            </w:pPr>
          </w:p>
          <w:p w:rsidR="00017F5F" w:rsidRDefault="00017F5F" w:rsidP="00DA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М.В. Нетяжук</w:t>
            </w:r>
          </w:p>
          <w:p w:rsidR="00017F5F" w:rsidRDefault="00017F5F" w:rsidP="00DA4C6E">
            <w:pPr>
              <w:rPr>
                <w:b/>
                <w:sz w:val="24"/>
                <w:szCs w:val="24"/>
              </w:rPr>
            </w:pPr>
          </w:p>
          <w:p w:rsidR="00017F5F" w:rsidRDefault="00017F5F" w:rsidP="00DA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017F5F" w:rsidRPr="00B332C6" w:rsidRDefault="00017F5F" w:rsidP="00202416">
            <w:pPr>
              <w:rPr>
                <w:b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F" w:rsidRPr="00C40510" w:rsidRDefault="00017F5F" w:rsidP="00DA4C6E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017F5F" w:rsidRDefault="00017F5F" w:rsidP="00DA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017F5F" w:rsidRPr="00B332C6" w:rsidRDefault="00017F5F" w:rsidP="00DA4C6E">
            <w:pPr>
              <w:rPr>
                <w:sz w:val="24"/>
                <w:szCs w:val="24"/>
              </w:rPr>
            </w:pPr>
          </w:p>
          <w:p w:rsidR="00017F5F" w:rsidRPr="009D5F49" w:rsidRDefault="00017F5F" w:rsidP="00DA4C6E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017F5F" w:rsidRPr="009D5F49" w:rsidRDefault="00017F5F" w:rsidP="00DA4C6E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017F5F" w:rsidRPr="00B332C6" w:rsidRDefault="00017F5F" w:rsidP="00DA4C6E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</w:p>
        </w:tc>
      </w:tr>
      <w:tr w:rsidR="00017F5F" w:rsidRPr="00C40510" w:rsidTr="00744DD1">
        <w:trPr>
          <w:trHeight w:val="402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F" w:rsidRPr="00C40510" w:rsidRDefault="00017F5F" w:rsidP="00202416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017F5F" w:rsidRPr="00C40510" w:rsidTr="00744DD1">
        <w:trPr>
          <w:trHeight w:val="402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F" w:rsidRPr="00DA4C6E" w:rsidRDefault="00017F5F" w:rsidP="00744DD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00097 </w:t>
            </w:r>
            <w:r w:rsidRPr="00DA4C6E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реєстрація  припинення юридичної особи в результаті її ліквідації (крім громадського формування)</w:t>
            </w:r>
          </w:p>
          <w:p w:rsidR="00017F5F" w:rsidRPr="00C40510" w:rsidRDefault="00017F5F" w:rsidP="002024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017F5F" w:rsidRPr="00481702" w:rsidTr="00744DD1">
        <w:trPr>
          <w:trHeight w:val="421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F" w:rsidRPr="00243365" w:rsidRDefault="00017F5F" w:rsidP="00202416">
            <w:pPr>
              <w:jc w:val="center"/>
              <w:rPr>
                <w:sz w:val="24"/>
                <w:szCs w:val="24"/>
                <w:u w:val="single"/>
              </w:rPr>
            </w:pPr>
            <w:r w:rsidRPr="00243365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243365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017F5F" w:rsidRPr="00481702" w:rsidRDefault="00017F5F" w:rsidP="00202416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найменування  суб</w:t>
            </w:r>
            <w:r w:rsidRPr="00481702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 xml:space="preserve">єкта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017F5F" w:rsidRPr="009226C0" w:rsidTr="00744DD1">
        <w:trPr>
          <w:trHeight w:val="421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F" w:rsidRPr="009226C0" w:rsidRDefault="00017F5F" w:rsidP="008D7016">
            <w:pPr>
              <w:jc w:val="center"/>
              <w:rPr>
                <w:b/>
                <w:sz w:val="24"/>
                <w:szCs w:val="24"/>
              </w:rPr>
            </w:pPr>
            <w:r w:rsidRPr="009226C0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017F5F" w:rsidRPr="009226C0" w:rsidRDefault="00017F5F" w:rsidP="008D7016">
            <w:pPr>
              <w:jc w:val="center"/>
              <w:rPr>
                <w:b/>
                <w:sz w:val="24"/>
                <w:szCs w:val="24"/>
              </w:rPr>
            </w:pPr>
            <w:r w:rsidRPr="009226C0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Default="00017F5F" w:rsidP="002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017F5F" w:rsidRPr="00744DD1" w:rsidRDefault="00017F5F" w:rsidP="00243365">
            <w:pPr>
              <w:rPr>
                <w:sz w:val="24"/>
                <w:szCs w:val="24"/>
                <w:lang w:eastAsia="uk-UA"/>
              </w:rPr>
            </w:pPr>
            <w:r w:rsidRPr="00481702"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Default="00017F5F" w:rsidP="006A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017F5F" w:rsidRDefault="00017F5F" w:rsidP="006A18D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017F5F" w:rsidRDefault="00017F5F" w:rsidP="006A18D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017F5F" w:rsidRDefault="00017F5F" w:rsidP="006A18D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017F5F" w:rsidRDefault="00017F5F" w:rsidP="006A18D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017F5F" w:rsidRDefault="00017F5F" w:rsidP="006A18D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017F5F" w:rsidRDefault="00017F5F" w:rsidP="006A18D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017F5F" w:rsidRDefault="00017F5F" w:rsidP="006A18D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017F5F" w:rsidRPr="00481702" w:rsidRDefault="00017F5F" w:rsidP="006A18D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017F5F" w:rsidRPr="00F94EC9" w:rsidRDefault="00017F5F" w:rsidP="006A18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Default="00017F5F" w:rsidP="006A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017F5F" w:rsidRPr="00481702" w:rsidRDefault="00017F5F" w:rsidP="006A18D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017F5F" w:rsidRPr="00481702" w:rsidRDefault="00017F5F" w:rsidP="006A18DB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017F5F" w:rsidRPr="009226C0" w:rsidRDefault="00017F5F" w:rsidP="006A18DB">
            <w:pPr>
              <w:rPr>
                <w:i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38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DA4C6E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DA4C6E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017F5F" w:rsidRPr="009226C0" w:rsidRDefault="00017F5F" w:rsidP="00DA4C6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17F5F" w:rsidRPr="009226C0" w:rsidRDefault="00017F5F" w:rsidP="00DA4C6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38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AC6DD4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DA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17F5F" w:rsidRPr="009226C0" w:rsidRDefault="00017F5F" w:rsidP="000E4FBE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 подаються:</w:t>
            </w:r>
          </w:p>
          <w:p w:rsidR="00017F5F" w:rsidRPr="009226C0" w:rsidRDefault="00017F5F" w:rsidP="000E4FBE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017F5F" w:rsidRPr="009226C0" w:rsidRDefault="00017F5F" w:rsidP="000E4FBE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017F5F" w:rsidRPr="009226C0" w:rsidRDefault="00017F5F" w:rsidP="000E4FBE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Pr="009226C0">
              <w:rPr>
                <w:sz w:val="24"/>
                <w:szCs w:val="24"/>
              </w:rPr>
              <w:t>припинення</w:t>
            </w:r>
            <w:r w:rsidRPr="009226C0">
              <w:rPr>
                <w:sz w:val="24"/>
                <w:szCs w:val="24"/>
                <w:lang w:eastAsia="uk-UA"/>
              </w:rPr>
              <w:t xml:space="preserve"> юридичної </w:t>
            </w:r>
            <w:r w:rsidRPr="009226C0">
              <w:rPr>
                <w:sz w:val="24"/>
                <w:szCs w:val="24"/>
                <w:lang w:eastAsia="uk-UA"/>
              </w:rPr>
              <w:br/>
              <w:t xml:space="preserve">особи – місцевої ради, виконавчого комітету місцевої ради, виконавчого органу місцевої ради подається </w:t>
            </w: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017F5F" w:rsidRPr="009226C0" w:rsidRDefault="00017F5F" w:rsidP="000E4FBE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017F5F" w:rsidRPr="00690F3A" w:rsidRDefault="00017F5F" w:rsidP="000E4FB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17F5F" w:rsidRPr="00AB11BD" w:rsidRDefault="00017F5F" w:rsidP="000E4FB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0" w:name="n471"/>
            <w:bookmarkEnd w:id="0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AB11B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017F5F" w:rsidRPr="009226C0" w:rsidRDefault="00017F5F" w:rsidP="000E4FBE">
            <w:pPr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DA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17F5F" w:rsidRPr="009226C0" w:rsidRDefault="00017F5F" w:rsidP="00DA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DA4C6E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DA4C6E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17F5F" w:rsidRPr="009226C0" w:rsidRDefault="00017F5F" w:rsidP="00DA4C6E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17F5F" w:rsidRPr="009226C0" w:rsidRDefault="00017F5F" w:rsidP="00DA4C6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0E4F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" w:name="o371"/>
            <w:bookmarkStart w:id="2" w:name="o625"/>
            <w:bookmarkStart w:id="3" w:name="o545"/>
            <w:bookmarkEnd w:id="1"/>
            <w:bookmarkEnd w:id="2"/>
            <w:bookmarkEnd w:id="3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17F5F" w:rsidRPr="009226C0" w:rsidRDefault="00017F5F" w:rsidP="000E4F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17F5F" w:rsidRPr="009226C0" w:rsidRDefault="00017F5F" w:rsidP="000E4FBE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17F5F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9226C0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17F5F" w:rsidRPr="00AB11BD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 xml:space="preserve">не усунуто </w:t>
            </w:r>
            <w:r w:rsidRPr="009226C0">
              <w:rPr>
                <w:sz w:val="24"/>
                <w:szCs w:val="24"/>
                <w:lang w:eastAsia="uk-UA"/>
              </w:rPr>
              <w:t>підстави для зупинення розгляду документів протягом встановленого строку;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7F5F" w:rsidRPr="00AB11BD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</w:t>
            </w:r>
            <w:r w:rsidRPr="006C47D1">
              <w:rPr>
                <w:sz w:val="24"/>
                <w:szCs w:val="24"/>
                <w:lang w:eastAsia="uk-UA"/>
              </w:rPr>
              <w:t xml:space="preserve">, </w:t>
            </w:r>
            <w:r w:rsidRPr="00AB11BD">
              <w:rPr>
                <w:sz w:val="24"/>
                <w:szCs w:val="24"/>
                <w:lang w:eastAsia="uk-UA"/>
              </w:rPr>
              <w:t>та/або є засновником третейського суду;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n972"/>
            <w:bookmarkEnd w:id="4"/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017F5F" w:rsidRPr="006C47D1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</w:t>
            </w:r>
            <w:r w:rsidRPr="006C47D1">
              <w:rPr>
                <w:sz w:val="24"/>
                <w:szCs w:val="24"/>
                <w:lang w:eastAsia="uk-UA"/>
              </w:rPr>
              <w:t xml:space="preserve">, </w:t>
            </w:r>
            <w:r w:rsidRPr="00AB11BD">
              <w:rPr>
                <w:sz w:val="24"/>
                <w:szCs w:val="24"/>
                <w:lang w:eastAsia="uk-UA"/>
              </w:rPr>
              <w:t>крім банків, стосовно яких процедура ліквідації здійснюється відповідно до </w:t>
            </w:r>
            <w:hyperlink r:id="rId11" w:tgtFrame="_blank" w:history="1">
              <w:r w:rsidRPr="00AB11BD">
                <w:rPr>
                  <w:rStyle w:val="Hyperlink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Pr="00AB11BD">
              <w:rPr>
                <w:sz w:val="24"/>
                <w:szCs w:val="24"/>
                <w:lang w:eastAsia="uk-UA"/>
              </w:rPr>
              <w:t> «Про систему гарантування вкладів фізичних осіб»;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n1096"/>
            <w:bookmarkEnd w:id="5"/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017F5F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017F5F" w:rsidRPr="00576EAC" w:rsidRDefault="00017F5F" w:rsidP="003242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76EAC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576EAC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017F5F" w:rsidRPr="009226C0" w:rsidRDefault="00017F5F" w:rsidP="003242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76EAC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DA4C6E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6" w:name="o638"/>
            <w:bookmarkEnd w:id="6"/>
            <w:r w:rsidRPr="009226C0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17F5F" w:rsidRPr="009226C0" w:rsidRDefault="00017F5F" w:rsidP="00DA4C6E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17F5F" w:rsidRPr="009226C0" w:rsidTr="00744D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8D7016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7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F5F" w:rsidRPr="009226C0" w:rsidRDefault="00017F5F" w:rsidP="00DA4C6E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017F5F" w:rsidRPr="009226C0" w:rsidRDefault="00017F5F" w:rsidP="00DA4C6E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17F5F" w:rsidRDefault="00017F5F" w:rsidP="0009178D">
      <w:pPr>
        <w:jc w:val="left"/>
        <w:rPr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p w:rsidR="00017F5F" w:rsidRPr="00DE06B3" w:rsidRDefault="00017F5F" w:rsidP="00F03E60">
      <w:pPr>
        <w:jc w:val="center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 </w:t>
      </w:r>
    </w:p>
    <w:p w:rsidR="00017F5F" w:rsidRPr="009226C0" w:rsidRDefault="00017F5F" w:rsidP="00F03E60">
      <w:pPr>
        <w:jc w:val="right"/>
        <w:rPr>
          <w:sz w:val="20"/>
          <w:szCs w:val="20"/>
        </w:rPr>
      </w:pPr>
      <w:bookmarkStart w:id="7" w:name="n14"/>
      <w:bookmarkStart w:id="8" w:name="n43"/>
      <w:bookmarkEnd w:id="7"/>
      <w:bookmarkEnd w:id="8"/>
    </w:p>
    <w:p w:rsidR="00017F5F" w:rsidRPr="009226C0" w:rsidRDefault="00017F5F" w:rsidP="00F03E60">
      <w:pPr>
        <w:jc w:val="right"/>
        <w:rPr>
          <w:sz w:val="20"/>
          <w:szCs w:val="20"/>
        </w:rPr>
      </w:pPr>
    </w:p>
    <w:p w:rsidR="00017F5F" w:rsidRPr="009226C0" w:rsidRDefault="00017F5F" w:rsidP="00BD531D"/>
    <w:sectPr w:rsidR="00017F5F" w:rsidRPr="009226C0" w:rsidSect="00BD5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5F" w:rsidRDefault="00017F5F">
      <w:r>
        <w:separator/>
      </w:r>
    </w:p>
  </w:endnote>
  <w:endnote w:type="continuationSeparator" w:id="0">
    <w:p w:rsidR="00017F5F" w:rsidRDefault="0001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5F" w:rsidRDefault="00017F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5F" w:rsidRPr="00DA4C6E" w:rsidRDefault="00017F5F" w:rsidP="002964DA">
    <w:pPr>
      <w:tabs>
        <w:tab w:val="left" w:pos="3969"/>
      </w:tabs>
      <w:jc w:val="center"/>
      <w:rPr>
        <w:sz w:val="20"/>
        <w:szCs w:val="20"/>
        <w:lang w:eastAsia="uk-UA"/>
      </w:rPr>
    </w:pPr>
    <w:r w:rsidRPr="00DA4C6E">
      <w:rPr>
        <w:sz w:val="20"/>
        <w:szCs w:val="20"/>
        <w:lang w:eastAsia="uk-UA"/>
      </w:rPr>
      <w:t>Державна реєстрація  припинення юридичної особи в результаті її ліквідації (крім громадського формування)</w:t>
    </w:r>
  </w:p>
  <w:p w:rsidR="00017F5F" w:rsidRDefault="00017F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5F" w:rsidRPr="00DA4C6E" w:rsidRDefault="00017F5F" w:rsidP="00DA4C6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5F" w:rsidRDefault="00017F5F">
      <w:r>
        <w:separator/>
      </w:r>
    </w:p>
  </w:footnote>
  <w:footnote w:type="continuationSeparator" w:id="0">
    <w:p w:rsidR="00017F5F" w:rsidRDefault="00017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5F" w:rsidRDefault="00017F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5F" w:rsidRPr="00DA4C6E" w:rsidRDefault="00017F5F">
    <w:pPr>
      <w:pStyle w:val="Header"/>
      <w:jc w:val="center"/>
      <w:rPr>
        <w:sz w:val="20"/>
        <w:szCs w:val="20"/>
      </w:rPr>
    </w:pPr>
    <w:r w:rsidRPr="00DA4C6E">
      <w:rPr>
        <w:sz w:val="20"/>
        <w:szCs w:val="20"/>
      </w:rPr>
      <w:fldChar w:fldCharType="begin"/>
    </w:r>
    <w:r w:rsidRPr="00DA4C6E">
      <w:rPr>
        <w:sz w:val="20"/>
        <w:szCs w:val="20"/>
      </w:rPr>
      <w:instrText>PAGE   \* MERGEFORMAT</w:instrText>
    </w:r>
    <w:r w:rsidRPr="00DA4C6E">
      <w:rPr>
        <w:sz w:val="20"/>
        <w:szCs w:val="20"/>
      </w:rPr>
      <w:fldChar w:fldCharType="separate"/>
    </w:r>
    <w:r w:rsidRPr="00D33B84">
      <w:rPr>
        <w:noProof/>
        <w:sz w:val="20"/>
        <w:szCs w:val="20"/>
        <w:lang w:val="ru-RU"/>
      </w:rPr>
      <w:t>4</w:t>
    </w:r>
    <w:r w:rsidRPr="00DA4C6E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5F" w:rsidRPr="00DA4C6E" w:rsidRDefault="00017F5F" w:rsidP="00DA4C6E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7D28"/>
    <w:rsid w:val="00010AF8"/>
    <w:rsid w:val="0001233D"/>
    <w:rsid w:val="00017F5F"/>
    <w:rsid w:val="00036A10"/>
    <w:rsid w:val="00044660"/>
    <w:rsid w:val="00056CF0"/>
    <w:rsid w:val="00057B91"/>
    <w:rsid w:val="000907C1"/>
    <w:rsid w:val="0009178D"/>
    <w:rsid w:val="000B7005"/>
    <w:rsid w:val="000B7C10"/>
    <w:rsid w:val="000E1FD6"/>
    <w:rsid w:val="000E4FBE"/>
    <w:rsid w:val="000F46F5"/>
    <w:rsid w:val="00120BB6"/>
    <w:rsid w:val="00133198"/>
    <w:rsid w:val="001460C9"/>
    <w:rsid w:val="001763D8"/>
    <w:rsid w:val="00193FC7"/>
    <w:rsid w:val="001E40A6"/>
    <w:rsid w:val="00202416"/>
    <w:rsid w:val="00243365"/>
    <w:rsid w:val="00270257"/>
    <w:rsid w:val="0029245E"/>
    <w:rsid w:val="002964DA"/>
    <w:rsid w:val="002A0E29"/>
    <w:rsid w:val="002A3E12"/>
    <w:rsid w:val="002C205F"/>
    <w:rsid w:val="002C7A57"/>
    <w:rsid w:val="002D474E"/>
    <w:rsid w:val="002D522C"/>
    <w:rsid w:val="002F1048"/>
    <w:rsid w:val="003116E6"/>
    <w:rsid w:val="00321843"/>
    <w:rsid w:val="0032421F"/>
    <w:rsid w:val="00371708"/>
    <w:rsid w:val="00394DF2"/>
    <w:rsid w:val="003A5EBD"/>
    <w:rsid w:val="003A6C64"/>
    <w:rsid w:val="003D1593"/>
    <w:rsid w:val="003E06D2"/>
    <w:rsid w:val="003E0D9C"/>
    <w:rsid w:val="0042575D"/>
    <w:rsid w:val="00431E9C"/>
    <w:rsid w:val="0044442F"/>
    <w:rsid w:val="00460E69"/>
    <w:rsid w:val="004778EA"/>
    <w:rsid w:val="00481702"/>
    <w:rsid w:val="004949F1"/>
    <w:rsid w:val="004B30BC"/>
    <w:rsid w:val="004B3B36"/>
    <w:rsid w:val="004D350E"/>
    <w:rsid w:val="004D41B7"/>
    <w:rsid w:val="004F17BA"/>
    <w:rsid w:val="00512F1F"/>
    <w:rsid w:val="00517B6F"/>
    <w:rsid w:val="0052271C"/>
    <w:rsid w:val="00526546"/>
    <w:rsid w:val="005316A9"/>
    <w:rsid w:val="00532C03"/>
    <w:rsid w:val="00574422"/>
    <w:rsid w:val="00575685"/>
    <w:rsid w:val="00576EAC"/>
    <w:rsid w:val="005858D5"/>
    <w:rsid w:val="005A7E20"/>
    <w:rsid w:val="005E4A77"/>
    <w:rsid w:val="005F7B78"/>
    <w:rsid w:val="00602CE1"/>
    <w:rsid w:val="00607847"/>
    <w:rsid w:val="00612831"/>
    <w:rsid w:val="00615FD5"/>
    <w:rsid w:val="00624529"/>
    <w:rsid w:val="00647360"/>
    <w:rsid w:val="00684D8B"/>
    <w:rsid w:val="00690F3A"/>
    <w:rsid w:val="006A18DB"/>
    <w:rsid w:val="006C47D1"/>
    <w:rsid w:val="006C4F98"/>
    <w:rsid w:val="00723E94"/>
    <w:rsid w:val="0072721C"/>
    <w:rsid w:val="00744DD1"/>
    <w:rsid w:val="0074672C"/>
    <w:rsid w:val="00752741"/>
    <w:rsid w:val="00752F4D"/>
    <w:rsid w:val="0076616D"/>
    <w:rsid w:val="007826A0"/>
    <w:rsid w:val="0078694F"/>
    <w:rsid w:val="00796651"/>
    <w:rsid w:val="00797FFA"/>
    <w:rsid w:val="007A6F3A"/>
    <w:rsid w:val="007C770B"/>
    <w:rsid w:val="007D3E78"/>
    <w:rsid w:val="007F6F0E"/>
    <w:rsid w:val="00800744"/>
    <w:rsid w:val="0084596A"/>
    <w:rsid w:val="008C3BEC"/>
    <w:rsid w:val="008C4E3E"/>
    <w:rsid w:val="008D7016"/>
    <w:rsid w:val="008F706C"/>
    <w:rsid w:val="00904F81"/>
    <w:rsid w:val="00905D69"/>
    <w:rsid w:val="0090752B"/>
    <w:rsid w:val="009226C0"/>
    <w:rsid w:val="00931387"/>
    <w:rsid w:val="00932A6F"/>
    <w:rsid w:val="00947512"/>
    <w:rsid w:val="00955985"/>
    <w:rsid w:val="00985A78"/>
    <w:rsid w:val="009A3011"/>
    <w:rsid w:val="009B4B1B"/>
    <w:rsid w:val="009B6867"/>
    <w:rsid w:val="009C25A5"/>
    <w:rsid w:val="009D111A"/>
    <w:rsid w:val="009D5F49"/>
    <w:rsid w:val="009F6013"/>
    <w:rsid w:val="00A47462"/>
    <w:rsid w:val="00A613A2"/>
    <w:rsid w:val="00AB11BD"/>
    <w:rsid w:val="00AB5BB0"/>
    <w:rsid w:val="00AC6DD4"/>
    <w:rsid w:val="00AC7B1E"/>
    <w:rsid w:val="00AD0CF3"/>
    <w:rsid w:val="00AE3406"/>
    <w:rsid w:val="00AF77BB"/>
    <w:rsid w:val="00B22FA0"/>
    <w:rsid w:val="00B30573"/>
    <w:rsid w:val="00B30FCD"/>
    <w:rsid w:val="00B332C6"/>
    <w:rsid w:val="00B530E1"/>
    <w:rsid w:val="00B54254"/>
    <w:rsid w:val="00B71C36"/>
    <w:rsid w:val="00B941D1"/>
    <w:rsid w:val="00B94409"/>
    <w:rsid w:val="00BB06FD"/>
    <w:rsid w:val="00BD06DC"/>
    <w:rsid w:val="00BD531D"/>
    <w:rsid w:val="00BE19AB"/>
    <w:rsid w:val="00C40510"/>
    <w:rsid w:val="00C418D2"/>
    <w:rsid w:val="00C4700D"/>
    <w:rsid w:val="00C47E79"/>
    <w:rsid w:val="00C56E7B"/>
    <w:rsid w:val="00C67A74"/>
    <w:rsid w:val="00C719E3"/>
    <w:rsid w:val="00C86F5E"/>
    <w:rsid w:val="00C902E8"/>
    <w:rsid w:val="00C951D7"/>
    <w:rsid w:val="00CB3A41"/>
    <w:rsid w:val="00CC7727"/>
    <w:rsid w:val="00CD7E96"/>
    <w:rsid w:val="00D33B84"/>
    <w:rsid w:val="00D45DF9"/>
    <w:rsid w:val="00D73D1F"/>
    <w:rsid w:val="00D73D2D"/>
    <w:rsid w:val="00D7737E"/>
    <w:rsid w:val="00D85371"/>
    <w:rsid w:val="00DA4C6E"/>
    <w:rsid w:val="00DB708C"/>
    <w:rsid w:val="00DC2087"/>
    <w:rsid w:val="00DC2A9F"/>
    <w:rsid w:val="00DD003D"/>
    <w:rsid w:val="00DE06B3"/>
    <w:rsid w:val="00DF5F05"/>
    <w:rsid w:val="00E03BC3"/>
    <w:rsid w:val="00E10EEA"/>
    <w:rsid w:val="00E365D1"/>
    <w:rsid w:val="00E55BF4"/>
    <w:rsid w:val="00E7537D"/>
    <w:rsid w:val="00E767FB"/>
    <w:rsid w:val="00EC33D1"/>
    <w:rsid w:val="00EE70B8"/>
    <w:rsid w:val="00F03964"/>
    <w:rsid w:val="00F03E60"/>
    <w:rsid w:val="00F13600"/>
    <w:rsid w:val="00F15A0D"/>
    <w:rsid w:val="00F66328"/>
    <w:rsid w:val="00F94EC9"/>
    <w:rsid w:val="00F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E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16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C772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727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F6632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akon.rada.gov.ua/laws/show/4452-17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stiv-rada.gov.u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1447</Words>
  <Characters>8250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26</cp:revision>
  <cp:lastPrinted>2019-09-16T11:34:00Z</cp:lastPrinted>
  <dcterms:created xsi:type="dcterms:W3CDTF">2016-11-12T12:19:00Z</dcterms:created>
  <dcterms:modified xsi:type="dcterms:W3CDTF">2021-01-18T13:59:00Z</dcterms:modified>
</cp:coreProperties>
</file>